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xml" PartName="/customXml/item2.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 Id="rId4" Target="docProps/custom.xml" Type="http://schemas.openxmlformats.org/officeDocument/2006/relationships/custom-properties"/>
</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4.7.0 -->
  <w:body>
    <w:p w14:paraId="2001BDEC">
      <w:pPr>
        <w:spacing w:after="0"/>
        <w:jc w:val="center"/>
        <w:rPr>
          <w:rFonts w:ascii="Times New Roman" w:cs="Times New Roman" w:hAnsi="Times New Roman"/>
          <w:b/>
          <w:sz w:val="44"/>
          <w:szCs w:val="44"/>
          <w:lang w:eastAsia="zh-CN"/>
        </w:rPr>
      </w:pPr>
      <w:bookmarkStart w:id="0" w:name="_Toc123112261"/>
      <w:bookmarkStart w:id="1" w:name="_Toc123701381"/>
      <w:bookmarkStart w:id="2" w:name="_Toc139991724"/>
      <w:bookmarkStart w:id="3" w:name="_Toc139992299"/>
      <w:bookmarkStart w:id="4" w:name="_Toc123112222"/>
      <w:bookmarkStart w:id="5" w:name="_Toc123701384"/>
      <w:bookmarkStart w:id="6" w:name="_Toc139992302"/>
      <w:bookmarkStart w:id="7" w:name="_Toc123112264"/>
      <w:bookmarkStart w:id="8" w:name="_Toc139991727"/>
      <w:bookmarkStart w:id="9" w:name="_Toc123112225"/>
      <w:bookmarkStart w:id="10" w:name="_Toc139991729"/>
      <w:bookmarkStart w:id="11" w:name="_Toc123112227"/>
      <w:bookmarkStart w:id="12" w:name="_Toc123701386"/>
      <w:bookmarkStart w:id="13" w:name="_Toc123112266"/>
    </w:p>
    <w:p w14:paraId="7DDFC30C">
      <w:pPr>
        <w:spacing w:after="0"/>
        <w:jc w:val="center"/>
        <w:rPr>
          <w:rFonts w:ascii="Times New Roman" w:cs="Times New Roman" w:hAnsi="Times New Roman"/>
          <w:b/>
          <w:sz w:val="44"/>
          <w:szCs w:val="44"/>
          <w:lang w:eastAsia="zh-CN"/>
        </w:rPr>
      </w:pPr>
    </w:p>
    <w:p w14:paraId="0C4AAC08">
      <w:pPr>
        <w:spacing w:after="0"/>
        <w:jc w:val="center"/>
        <w:rPr>
          <w:rFonts w:ascii="Times New Roman" w:cs="Times New Roman" w:hAnsi="Times New Roman"/>
          <w:b/>
          <w:sz w:val="44"/>
          <w:szCs w:val="44"/>
          <w:lang w:eastAsia="zh-CN"/>
        </w:rPr>
      </w:pPr>
    </w:p>
    <w:p w14:paraId="27B66E5F">
      <w:pPr>
        <w:spacing w:after="0"/>
        <w:jc w:val="center"/>
        <w:rPr>
          <w:rFonts w:ascii="Times New Roman" w:cs="Times New Roman" w:hAnsi="Times New Roman"/>
          <w:b/>
          <w:sz w:val="44"/>
          <w:szCs w:val="44"/>
          <w:lang w:eastAsia="zh-CN"/>
        </w:rPr>
      </w:pPr>
    </w:p>
    <w:p w14:paraId="1CB50695">
      <w:pPr>
        <w:spacing w:after="0"/>
        <w:jc w:val="center"/>
        <w:rPr>
          <w:rFonts w:ascii="Times New Roman" w:cs="Times New Roman" w:hAnsi="Times New Roman"/>
          <w:b/>
          <w:sz w:val="44"/>
          <w:szCs w:val="44"/>
          <w:lang w:eastAsia="zh-CN"/>
        </w:rPr>
      </w:pPr>
      <w:r>
        <w:rPr>
          <w:rFonts w:ascii="Times New Roman" w:cs="Times New Roman" w:hAnsi="Times New Roman"/>
          <w:b/>
          <w:sz w:val="44"/>
          <w:szCs w:val="44"/>
          <w:lang w:eastAsia="zh-CN"/>
        </w:rPr>
        <w:t>华夏中证卫星产业交易型开放式</w:t>
      </w:r>
    </w:p>
    <w:p w14:paraId="67CA5453">
      <w:pPr>
        <w:spacing w:after="0"/>
        <w:jc w:val="center"/>
        <w:rPr>
          <w:rFonts w:ascii="Times New Roman" w:cs="Times New Roman" w:hAnsi="Times New Roman"/>
          <w:b/>
          <w:sz w:val="44"/>
          <w:szCs w:val="44"/>
          <w:lang w:eastAsia="zh-CN"/>
        </w:rPr>
      </w:pPr>
      <w:r>
        <w:rPr>
          <w:rFonts w:ascii="Times New Roman" w:cs="Times New Roman" w:hAnsi="Times New Roman"/>
          <w:b/>
          <w:sz w:val="44"/>
          <w:szCs w:val="44"/>
          <w:lang w:eastAsia="zh-CN"/>
        </w:rPr>
        <w:t>指数证券投资基金</w:t>
      </w:r>
      <w:bookmarkEnd w:id="0"/>
      <w:bookmarkEnd w:id="1"/>
      <w:bookmarkEnd w:id="2"/>
      <w:bookmarkEnd w:id="3"/>
      <w:bookmarkEnd w:id="4"/>
      <w:bookmarkStart w:id="14" w:name="_Toc139991725"/>
      <w:bookmarkStart w:id="15" w:name="_Toc123112262"/>
      <w:bookmarkStart w:id="16" w:name="_Toc123701382"/>
      <w:bookmarkStart w:id="17" w:name="_Toc123112223"/>
      <w:bookmarkStart w:id="18" w:name="_Toc139992300"/>
      <w:r>
        <w:rPr>
          <w:rFonts w:ascii="Times New Roman" w:cs="Times New Roman" w:hAnsi="Times New Roman"/>
          <w:b/>
          <w:sz w:val="44"/>
          <w:szCs w:val="44"/>
          <w:lang w:eastAsia="zh-CN"/>
        </w:rPr>
        <w:t>基金合同</w:t>
      </w:r>
      <w:bookmarkEnd w:id="14"/>
      <w:bookmarkEnd w:id="15"/>
      <w:bookmarkEnd w:id="16"/>
      <w:bookmarkEnd w:id="17"/>
      <w:bookmarkEnd w:id="18"/>
    </w:p>
    <w:p w14:paraId="5811D7F5">
      <w:pPr>
        <w:spacing w:after="0"/>
        <w:jc w:val="center"/>
        <w:rPr>
          <w:rFonts w:ascii="Times New Roman" w:cs="Times New Roman" w:hAnsi="Times New Roman"/>
          <w:b/>
          <w:szCs w:val="21"/>
          <w:lang w:eastAsia="zh-CN"/>
        </w:rPr>
      </w:pPr>
    </w:p>
    <w:p w14:paraId="3F96A9BF">
      <w:pPr>
        <w:spacing w:after="0"/>
        <w:jc w:val="center"/>
        <w:rPr>
          <w:rFonts w:ascii="Times New Roman" w:cs="Times New Roman" w:hAnsi="Times New Roman"/>
          <w:b/>
          <w:szCs w:val="21"/>
          <w:lang w:eastAsia="zh-CN"/>
        </w:rPr>
      </w:pPr>
    </w:p>
    <w:p w14:paraId="11FAD2C4">
      <w:pPr>
        <w:spacing w:after="0"/>
        <w:jc w:val="center"/>
        <w:rPr>
          <w:rFonts w:ascii="Times New Roman" w:cs="Times New Roman" w:hAnsi="Times New Roman"/>
          <w:b/>
          <w:szCs w:val="21"/>
          <w:lang w:eastAsia="zh-CN"/>
        </w:rPr>
      </w:pPr>
    </w:p>
    <w:p w14:paraId="5E745C87">
      <w:pPr>
        <w:spacing w:after="0"/>
        <w:jc w:val="center"/>
        <w:rPr>
          <w:rFonts w:ascii="Times New Roman" w:cs="Times New Roman" w:hAnsi="Times New Roman"/>
          <w:b/>
          <w:szCs w:val="21"/>
          <w:lang w:eastAsia="zh-CN"/>
        </w:rPr>
      </w:pPr>
    </w:p>
    <w:p w14:paraId="310E9125">
      <w:pPr>
        <w:spacing w:after="0"/>
        <w:jc w:val="center"/>
        <w:rPr>
          <w:rFonts w:ascii="Times New Roman" w:cs="Times New Roman" w:hAnsi="Times New Roman"/>
          <w:b/>
          <w:szCs w:val="21"/>
          <w:lang w:eastAsia="zh-CN"/>
        </w:rPr>
      </w:pPr>
    </w:p>
    <w:p w14:paraId="16E2F3B6">
      <w:pPr>
        <w:spacing w:after="0"/>
        <w:jc w:val="center"/>
        <w:rPr>
          <w:rFonts w:ascii="Times New Roman" w:cs="Times New Roman" w:hAnsi="Times New Roman"/>
          <w:b/>
          <w:szCs w:val="21"/>
          <w:lang w:eastAsia="zh-CN"/>
        </w:rPr>
      </w:pPr>
    </w:p>
    <w:p w14:paraId="1BAC5A98">
      <w:pPr>
        <w:spacing w:after="0"/>
        <w:jc w:val="center"/>
        <w:rPr>
          <w:rFonts w:ascii="Times New Roman" w:cs="Times New Roman" w:hAnsi="Times New Roman"/>
          <w:b/>
          <w:szCs w:val="21"/>
          <w:lang w:eastAsia="zh-CN"/>
        </w:rPr>
      </w:pPr>
    </w:p>
    <w:p w14:paraId="3E1C4C04">
      <w:pPr>
        <w:spacing w:after="0"/>
        <w:jc w:val="center"/>
        <w:rPr>
          <w:rFonts w:ascii="Times New Roman" w:cs="Times New Roman" w:hAnsi="Times New Roman"/>
          <w:b/>
          <w:szCs w:val="21"/>
          <w:lang w:eastAsia="zh-CN"/>
        </w:rPr>
      </w:pPr>
    </w:p>
    <w:p w14:paraId="5E9D0447">
      <w:pPr>
        <w:spacing w:after="0"/>
        <w:jc w:val="center"/>
        <w:rPr>
          <w:rFonts w:ascii="Times New Roman" w:cs="Times New Roman" w:hAnsi="Times New Roman"/>
          <w:b/>
          <w:szCs w:val="21"/>
          <w:lang w:eastAsia="zh-CN"/>
        </w:rPr>
      </w:pPr>
    </w:p>
    <w:p w14:paraId="48B9F4EE">
      <w:pPr>
        <w:spacing w:after="0"/>
        <w:jc w:val="center"/>
        <w:rPr>
          <w:rFonts w:ascii="Times New Roman" w:cs="Times New Roman" w:hAnsi="Times New Roman"/>
          <w:b/>
          <w:szCs w:val="21"/>
          <w:lang w:eastAsia="zh-CN"/>
        </w:rPr>
      </w:pPr>
    </w:p>
    <w:p w14:paraId="20F61FD6">
      <w:pPr>
        <w:spacing w:after="0"/>
        <w:jc w:val="center"/>
        <w:rPr>
          <w:rFonts w:ascii="Times New Roman" w:cs="Times New Roman" w:hAnsi="Times New Roman"/>
          <w:b/>
          <w:szCs w:val="21"/>
          <w:lang w:eastAsia="zh-CN"/>
        </w:rPr>
      </w:pPr>
    </w:p>
    <w:p w14:paraId="1D301243">
      <w:pPr>
        <w:spacing w:after="0"/>
        <w:jc w:val="center"/>
        <w:rPr>
          <w:rFonts w:ascii="Times New Roman" w:cs="Times New Roman" w:hAnsi="Times New Roman"/>
          <w:b/>
          <w:szCs w:val="21"/>
          <w:lang w:eastAsia="zh-CN"/>
        </w:rPr>
      </w:pPr>
    </w:p>
    <w:p w14:paraId="58394CAF">
      <w:pPr>
        <w:spacing w:after="0"/>
        <w:jc w:val="center"/>
        <w:rPr>
          <w:rFonts w:ascii="Times New Roman" w:cs="Times New Roman" w:hAnsi="Times New Roman"/>
          <w:b/>
          <w:szCs w:val="21"/>
          <w:lang w:eastAsia="zh-CN"/>
        </w:rPr>
      </w:pPr>
    </w:p>
    <w:p w14:paraId="293FC631">
      <w:pPr>
        <w:spacing w:after="0"/>
        <w:jc w:val="center"/>
        <w:rPr>
          <w:rFonts w:ascii="Times New Roman" w:cs="Times New Roman" w:hAnsi="Times New Roman"/>
          <w:b/>
          <w:szCs w:val="21"/>
          <w:lang w:eastAsia="zh-CN"/>
        </w:rPr>
      </w:pPr>
    </w:p>
    <w:p w14:paraId="0EA31FDE">
      <w:pPr>
        <w:spacing w:after="0"/>
        <w:jc w:val="center"/>
        <w:rPr>
          <w:rFonts w:ascii="Times New Roman" w:cs="Times New Roman" w:hAnsi="Times New Roman"/>
          <w:b/>
          <w:szCs w:val="21"/>
          <w:lang w:eastAsia="zh-CN"/>
        </w:rPr>
      </w:pPr>
    </w:p>
    <w:p w14:paraId="230A47DD">
      <w:pPr>
        <w:spacing w:after="0"/>
        <w:jc w:val="center"/>
        <w:rPr>
          <w:rFonts w:ascii="Times New Roman" w:cs="Times New Roman" w:hAnsi="Times New Roman"/>
          <w:b/>
          <w:szCs w:val="21"/>
          <w:lang w:eastAsia="zh-CN"/>
        </w:rPr>
      </w:pPr>
    </w:p>
    <w:p w14:paraId="5C73B64F">
      <w:pPr>
        <w:spacing w:after="0" w:line="360" w:lineRule="auto"/>
        <w:rPr>
          <w:rFonts w:ascii="Times New Roman" w:cs="Times New Roman" w:hAnsi="Times New Roman"/>
          <w:b/>
          <w:sz w:val="32"/>
          <w:szCs w:val="32"/>
          <w:lang w:eastAsia="zh-CN"/>
        </w:rPr>
      </w:pPr>
    </w:p>
    <w:p w14:paraId="5E25EA69">
      <w:pPr>
        <w:spacing w:after="0" w:line="360" w:lineRule="auto"/>
        <w:jc w:val="center"/>
        <w:rPr>
          <w:rFonts w:ascii="Times New Roman" w:cs="Times New Roman" w:hAnsi="Times New Roman"/>
          <w:bCs/>
          <w:sz w:val="32"/>
          <w:szCs w:val="32"/>
          <w:lang w:eastAsia="zh-CN"/>
        </w:rPr>
      </w:pPr>
      <w:bookmarkStart w:id="19" w:name="_Toc139991726"/>
      <w:bookmarkStart w:id="20" w:name="_Toc123112263"/>
      <w:bookmarkStart w:id="21" w:name="_Toc123701383"/>
      <w:bookmarkStart w:id="22" w:name="_Toc139992301"/>
      <w:bookmarkStart w:id="23" w:name="_Toc123112224"/>
      <w:r>
        <w:rPr>
          <w:rFonts w:ascii="Times New Roman" w:cs="Times New Roman" w:hAnsi="Times New Roman" w:hint="eastAsia"/>
          <w:bCs/>
          <w:sz w:val="32"/>
          <w:szCs w:val="32"/>
          <w:lang w:eastAsia="zh-CN"/>
        </w:rPr>
        <w:t>基金管理人：</w:t>
      </w:r>
      <w:bookmarkEnd w:id="19"/>
      <w:bookmarkEnd w:id="20"/>
      <w:bookmarkEnd w:id="21"/>
      <w:bookmarkEnd w:id="22"/>
      <w:bookmarkEnd w:id="23"/>
      <w:r>
        <w:rPr>
          <w:rFonts w:ascii="Times New Roman" w:cs="Times New Roman" w:hAnsi="Times New Roman" w:hint="eastAsia"/>
          <w:bCs/>
          <w:sz w:val="32"/>
          <w:szCs w:val="32"/>
          <w:lang w:eastAsia="zh-CN"/>
        </w:rPr>
        <w:t>华夏基金管理有限公司</w:t>
      </w:r>
      <w:r>
        <w:rPr>
          <w:rFonts w:ascii="Times New Roman" w:cs="Times New Roman" w:hAnsi="Times New Roman"/>
          <w:bCs/>
          <w:sz w:val="32"/>
          <w:szCs w:val="32"/>
          <w:lang w:eastAsia="zh-CN"/>
        </w:rPr>
        <w:t xml:space="preserve"> </w:t>
      </w:r>
    </w:p>
    <w:p w14:paraId="6F9EA5B1">
      <w:pPr>
        <w:spacing w:after="0" w:line="360" w:lineRule="auto"/>
        <w:jc w:val="center"/>
        <w:rPr>
          <w:rFonts w:ascii="Times New Roman" w:cs="Times New Roman" w:hAnsi="Times New Roman"/>
          <w:bCs/>
          <w:sz w:val="24"/>
          <w:szCs w:val="24"/>
          <w:lang w:eastAsia="zh-CN"/>
        </w:rPr>
      </w:pPr>
      <w:r>
        <w:rPr>
          <w:rFonts w:ascii="Times New Roman" w:cs="Times New Roman" w:hAnsi="Times New Roman" w:hint="eastAsia"/>
          <w:bCs/>
          <w:sz w:val="32"/>
          <w:szCs w:val="32"/>
          <w:lang w:eastAsia="zh-CN"/>
        </w:rPr>
        <w:t>基金托管人：中国建设银行股份有限公司</w:t>
      </w:r>
      <w:r>
        <w:rPr>
          <w:rFonts w:ascii="Times New Roman" w:cs="Times New Roman" w:hAnsi="Times New Roman"/>
          <w:bCs/>
          <w:sz w:val="32"/>
          <w:szCs w:val="32"/>
          <w:lang w:eastAsia="zh-CN"/>
        </w:rPr>
        <w:t xml:space="preserve"> </w:t>
      </w:r>
    </w:p>
    <w:p w14:paraId="3447788E">
      <w:pPr>
        <w:spacing w:after="0"/>
        <w:jc w:val="center"/>
        <w:rPr>
          <w:rFonts w:ascii="Times New Roman" w:cs="Times New Roman" w:hAnsi="Times New Roman"/>
          <w:bCs/>
          <w:szCs w:val="21"/>
          <w:lang w:eastAsia="zh-CN"/>
        </w:rPr>
      </w:pPr>
    </w:p>
    <w:bookmarkEnd w:id="5"/>
    <w:bookmarkEnd w:id="6"/>
    <w:bookmarkEnd w:id="7"/>
    <w:bookmarkEnd w:id="8"/>
    <w:bookmarkEnd w:id="9"/>
    <w:p w14:paraId="34E89FCD">
      <w:pPr>
        <w:spacing w:after="0"/>
        <w:rPr>
          <w:rFonts w:ascii="Times New Roman" w:cs="Times New Roman" w:hAnsi="Times New Roman"/>
          <w:b/>
          <w:bCs/>
          <w:szCs w:val="21"/>
          <w:lang w:eastAsia="zh-CN"/>
        </w:rPr>
      </w:pPr>
    </w:p>
    <w:p w14:paraId="5B47487F">
      <w:pPr>
        <w:spacing w:after="0"/>
        <w:jc w:val="center"/>
        <w:rPr>
          <w:rFonts w:ascii="Times New Roman" w:cs="Times New Roman" w:hAnsi="Times New Roman"/>
          <w:bCs/>
          <w:szCs w:val="21"/>
          <w:lang w:eastAsia="zh-CN"/>
        </w:rPr>
        <w:sectPr>
          <w:footerReference r:id="rId6" w:type="default"/>
          <w:headerReference r:id="rId7" w:type="first"/>
          <w:footerReference r:id="rId8" w:type="first"/>
          <w:pgSz w:h="16838" w:w="11906"/>
          <w:pgMar w:bottom="1440" w:footer="992" w:gutter="0" w:header="851" w:left="1800" w:right="1800" w:top="1440"/>
          <w:pgNumType w:start="1"/>
          <w:cols w:num="1" w:space="720"/>
          <w:docGrid w:charSpace="0" w:linePitch="312" w:type="lines"/>
        </w:sectPr>
      </w:pPr>
    </w:p>
    <w:p w14:paraId="58B525D9">
      <w:pPr>
        <w:spacing w:after="0"/>
        <w:jc w:val="center"/>
        <w:rPr>
          <w:rFonts w:ascii="Times New Roman" w:cs="Times New Roman" w:hAnsi="Times New Roman"/>
          <w:b/>
          <w:szCs w:val="21"/>
        </w:rPr>
      </w:pPr>
      <w:r>
        <w:rPr>
          <w:rFonts w:ascii="Times New Roman" w:cs="Times New Roman" w:hAnsi="Times New Roman" w:hint="eastAsia"/>
          <w:b/>
          <w:szCs w:val="21"/>
        </w:rPr>
        <w:t>目</w:t>
      </w:r>
      <w:r>
        <w:rPr>
          <w:rFonts w:ascii="Times New Roman" w:cs="Times New Roman" w:hAnsi="Times New Roman"/>
          <w:b/>
          <w:szCs w:val="21"/>
        </w:rPr>
        <w:t xml:space="preserve">    </w:t>
      </w:r>
      <w:r>
        <w:rPr>
          <w:rFonts w:ascii="Times New Roman" w:cs="Times New Roman" w:hAnsi="Times New Roman" w:hint="eastAsia"/>
          <w:b/>
          <w:szCs w:val="21"/>
        </w:rPr>
        <w:t>录</w:t>
      </w:r>
      <w:bookmarkEnd w:id="10"/>
      <w:bookmarkEnd w:id="11"/>
      <w:bookmarkEnd w:id="12"/>
      <w:bookmarkEnd w:id="13"/>
    </w:p>
    <w:p w14:paraId="3879DD62">
      <w:pPr>
        <w:pStyle w:val="TOC1"/>
        <w:spacing w:after="0"/>
        <w:rPr>
          <w:rFonts w:ascii="Times New Roman" w:cs="Times New Roman" w:hAnsi="Times New Roman"/>
          <w:szCs w:val="21"/>
        </w:rPr>
      </w:pPr>
      <w:r>
        <w:rPr>
          <w:rFonts w:ascii="Times New Roman" w:cs="Times New Roman" w:hAnsi="Times New Roman"/>
          <w:bCs/>
          <w:szCs w:val="21"/>
        </w:rPr>
        <w:fldChar w:fldCharType="begin"/>
      </w:r>
      <w:r>
        <w:rPr>
          <w:rFonts w:ascii="Times New Roman" w:cs="Times New Roman" w:hAnsi="Times New Roman"/>
          <w:bCs/>
          <w:szCs w:val="21"/>
        </w:rPr>
        <w:instrText xml:space="preserve"> TOC \o "1-1" \h \z \u </w:instrText>
      </w:r>
      <w:r>
        <w:rPr>
          <w:rFonts w:ascii="Times New Roman" w:cs="Times New Roman" w:hAnsi="Times New Roman"/>
          <w:bCs/>
          <w:szCs w:val="21"/>
        </w:rPr>
        <w:fldChar w:fldCharType="separate"/>
      </w:r>
      <w:hyperlink w:anchor="_Toc57364970" w:history="1" w:tooltip="当前文档">
        <w:r>
          <w:rPr>
            <w:rStyle w:val="Hyperlink"/>
            <w:rFonts w:ascii="Times New Roman" w:cs="Times New Roman" w:hAnsi="Times New Roman"/>
            <w:color w:val="auto"/>
            <w:szCs w:val="21"/>
          </w:rPr>
          <w:t>第一部分  前言</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_Toc57364970 \h </w:instrText>
        </w:r>
        <w:r>
          <w:rPr>
            <w:rFonts w:ascii="Times New Roman" w:cs="Times New Roman" w:hAnsi="Times New Roman"/>
            <w:szCs w:val="21"/>
          </w:rPr>
          <w:fldChar w:fldCharType="separate"/>
        </w:r>
        <w:r>
          <w:rPr>
            <w:rFonts w:ascii="Times New Roman" w:cs="Times New Roman" w:hAnsi="Times New Roman"/>
            <w:szCs w:val="21"/>
          </w:rPr>
          <w:t>1</w:t>
        </w:r>
        <w:r>
          <w:rPr>
            <w:rFonts w:ascii="Times New Roman" w:cs="Times New Roman" w:hAnsi="Times New Roman"/>
            <w:szCs w:val="21"/>
          </w:rPr>
          <w:fldChar w:fldCharType="end"/>
        </w:r>
      </w:hyperlink>
    </w:p>
    <w:p w14:paraId="362ED37E">
      <w:pPr>
        <w:pStyle w:val="TOC1"/>
        <w:spacing w:after="0"/>
        <w:rPr>
          <w:rFonts w:ascii="Times New Roman" w:cs="Times New Roman" w:hAnsi="Times New Roman"/>
          <w:szCs w:val="21"/>
        </w:rPr>
      </w:pPr>
      <w:hyperlink w:anchor="_Toc57364971" w:history="1" w:tooltip="当前文档">
        <w:r>
          <w:rPr>
            <w:rStyle w:val="Hyperlink"/>
            <w:rFonts w:ascii="Times New Roman" w:cs="Times New Roman" w:hAnsi="Times New Roman"/>
            <w:color w:val="auto"/>
            <w:szCs w:val="21"/>
          </w:rPr>
          <w:t>第二部分  释义</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_Toc57364971 \h </w:instrText>
        </w:r>
        <w:r>
          <w:rPr>
            <w:rFonts w:ascii="Times New Roman" w:cs="Times New Roman" w:hAnsi="Times New Roman"/>
            <w:szCs w:val="21"/>
          </w:rPr>
          <w:fldChar w:fldCharType="separate"/>
        </w:r>
        <w:r>
          <w:rPr>
            <w:rFonts w:ascii="Times New Roman" w:cs="Times New Roman" w:hAnsi="Times New Roman"/>
            <w:szCs w:val="21"/>
          </w:rPr>
          <w:t>3</w:t>
        </w:r>
        <w:r>
          <w:rPr>
            <w:rFonts w:ascii="Times New Roman" w:cs="Times New Roman" w:hAnsi="Times New Roman"/>
            <w:szCs w:val="21"/>
          </w:rPr>
          <w:fldChar w:fldCharType="end"/>
        </w:r>
      </w:hyperlink>
    </w:p>
    <w:p w14:paraId="3D7448EA">
      <w:pPr>
        <w:pStyle w:val="TOC1"/>
        <w:spacing w:after="0"/>
        <w:rPr>
          <w:rFonts w:ascii="Times New Roman" w:cs="Times New Roman" w:hAnsi="Times New Roman"/>
          <w:szCs w:val="21"/>
        </w:rPr>
      </w:pPr>
      <w:hyperlink w:anchor="_Toc57364972" w:history="1" w:tooltip="当前文档">
        <w:r>
          <w:rPr>
            <w:rStyle w:val="Hyperlink"/>
            <w:rFonts w:ascii="Times New Roman" w:cs="Times New Roman" w:hAnsi="Times New Roman"/>
            <w:color w:val="auto"/>
            <w:szCs w:val="21"/>
          </w:rPr>
          <w:t>第三部分  基金的基本情况</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_Toc57364972 \h </w:instrText>
        </w:r>
        <w:r>
          <w:rPr>
            <w:rFonts w:ascii="Times New Roman" w:cs="Times New Roman" w:hAnsi="Times New Roman"/>
            <w:szCs w:val="21"/>
          </w:rPr>
          <w:fldChar w:fldCharType="separate"/>
        </w:r>
        <w:r>
          <w:rPr>
            <w:rFonts w:ascii="Times New Roman" w:cs="Times New Roman" w:hAnsi="Times New Roman"/>
            <w:szCs w:val="21"/>
          </w:rPr>
          <w:t>7</w:t>
        </w:r>
        <w:r>
          <w:rPr>
            <w:rFonts w:ascii="Times New Roman" w:cs="Times New Roman" w:hAnsi="Times New Roman"/>
            <w:szCs w:val="21"/>
          </w:rPr>
          <w:fldChar w:fldCharType="end"/>
        </w:r>
      </w:hyperlink>
    </w:p>
    <w:p w14:paraId="311DFF11">
      <w:pPr>
        <w:pStyle w:val="TOC1"/>
        <w:spacing w:after="0"/>
        <w:rPr>
          <w:rFonts w:ascii="Times New Roman" w:cs="Times New Roman" w:hAnsi="Times New Roman"/>
          <w:szCs w:val="21"/>
        </w:rPr>
      </w:pPr>
      <w:hyperlink w:anchor="_Toc57364973" w:history="1" w:tooltip="当前文档">
        <w:r>
          <w:rPr>
            <w:rStyle w:val="Hyperlink"/>
            <w:rFonts w:ascii="Times New Roman" w:cs="Times New Roman" w:hAnsi="Times New Roman"/>
            <w:color w:val="auto"/>
            <w:szCs w:val="21"/>
          </w:rPr>
          <w:t>第四部分  基金份额的发售</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_Toc57364973 \h </w:instrText>
        </w:r>
        <w:r>
          <w:rPr>
            <w:rFonts w:ascii="Times New Roman" w:cs="Times New Roman" w:hAnsi="Times New Roman"/>
            <w:szCs w:val="21"/>
          </w:rPr>
          <w:fldChar w:fldCharType="separate"/>
        </w:r>
        <w:r>
          <w:rPr>
            <w:rFonts w:ascii="Times New Roman" w:cs="Times New Roman" w:hAnsi="Times New Roman"/>
            <w:szCs w:val="21"/>
          </w:rPr>
          <w:t>8</w:t>
        </w:r>
        <w:r>
          <w:rPr>
            <w:rFonts w:ascii="Times New Roman" w:cs="Times New Roman" w:hAnsi="Times New Roman"/>
            <w:szCs w:val="21"/>
          </w:rPr>
          <w:fldChar w:fldCharType="end"/>
        </w:r>
      </w:hyperlink>
    </w:p>
    <w:p w14:paraId="66CF02A5">
      <w:pPr>
        <w:pStyle w:val="TOC1"/>
        <w:spacing w:after="0"/>
        <w:rPr>
          <w:rFonts w:ascii="Times New Roman" w:cs="Times New Roman" w:hAnsi="Times New Roman"/>
          <w:szCs w:val="21"/>
        </w:rPr>
      </w:pPr>
      <w:hyperlink w:anchor="_Toc57364974" w:history="1" w:tooltip="当前文档">
        <w:r>
          <w:rPr>
            <w:rStyle w:val="Hyperlink"/>
            <w:rFonts w:ascii="Times New Roman" w:cs="Times New Roman" w:hAnsi="Times New Roman"/>
            <w:color w:val="auto"/>
            <w:szCs w:val="21"/>
          </w:rPr>
          <w:t>第五部分  基金备案</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_Toc57364974 \h </w:instrText>
        </w:r>
        <w:r>
          <w:rPr>
            <w:rFonts w:ascii="Times New Roman" w:cs="Times New Roman" w:hAnsi="Times New Roman"/>
            <w:szCs w:val="21"/>
          </w:rPr>
          <w:fldChar w:fldCharType="separate"/>
        </w:r>
        <w:r>
          <w:rPr>
            <w:rFonts w:ascii="Times New Roman" w:cs="Times New Roman" w:hAnsi="Times New Roman"/>
            <w:szCs w:val="21"/>
          </w:rPr>
          <w:t>10</w:t>
        </w:r>
        <w:r>
          <w:rPr>
            <w:rFonts w:ascii="Times New Roman" w:cs="Times New Roman" w:hAnsi="Times New Roman"/>
            <w:szCs w:val="21"/>
          </w:rPr>
          <w:fldChar w:fldCharType="end"/>
        </w:r>
      </w:hyperlink>
    </w:p>
    <w:p w14:paraId="2EA55B1E">
      <w:pPr>
        <w:pStyle w:val="TOC1"/>
        <w:spacing w:after="0"/>
        <w:rPr>
          <w:rFonts w:ascii="Times New Roman" w:cs="Times New Roman" w:hAnsi="Times New Roman"/>
          <w:szCs w:val="21"/>
        </w:rPr>
      </w:pPr>
      <w:hyperlink w:anchor="_Toc57364975" w:history="1" w:tooltip="当前文档">
        <w:r>
          <w:rPr>
            <w:rStyle w:val="Hyperlink"/>
            <w:rFonts w:ascii="Times New Roman" w:cs="Times New Roman" w:hAnsi="Times New Roman"/>
            <w:color w:val="auto"/>
            <w:szCs w:val="21"/>
          </w:rPr>
          <w:t>第六部分  基金份额的上市交易</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_Toc57364975 \h </w:instrText>
        </w:r>
        <w:r>
          <w:rPr>
            <w:rFonts w:ascii="Times New Roman" w:cs="Times New Roman" w:hAnsi="Times New Roman"/>
            <w:szCs w:val="21"/>
          </w:rPr>
          <w:fldChar w:fldCharType="separate"/>
        </w:r>
        <w:r>
          <w:rPr>
            <w:rFonts w:ascii="Times New Roman" w:cs="Times New Roman" w:hAnsi="Times New Roman"/>
            <w:szCs w:val="21"/>
          </w:rPr>
          <w:t>11</w:t>
        </w:r>
        <w:r>
          <w:rPr>
            <w:rFonts w:ascii="Times New Roman" w:cs="Times New Roman" w:hAnsi="Times New Roman"/>
            <w:szCs w:val="21"/>
          </w:rPr>
          <w:fldChar w:fldCharType="end"/>
        </w:r>
      </w:hyperlink>
    </w:p>
    <w:p w14:paraId="18A56C50">
      <w:pPr>
        <w:pStyle w:val="TOC1"/>
        <w:spacing w:after="0"/>
        <w:rPr>
          <w:rFonts w:ascii="Times New Roman" w:cs="Times New Roman" w:hAnsi="Times New Roman"/>
          <w:szCs w:val="21"/>
        </w:rPr>
      </w:pPr>
      <w:hyperlink w:anchor="_Toc57364976" w:history="1" w:tooltip="当前文档">
        <w:r>
          <w:rPr>
            <w:rStyle w:val="Hyperlink"/>
            <w:rFonts w:ascii="Times New Roman" w:cs="Times New Roman" w:hAnsi="Times New Roman"/>
            <w:color w:val="auto"/>
            <w:szCs w:val="21"/>
          </w:rPr>
          <w:t>第七部分  基金份额的申购与赎回</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_Toc57364976 \h </w:instrText>
        </w:r>
        <w:r>
          <w:rPr>
            <w:rFonts w:ascii="Times New Roman" w:cs="Times New Roman" w:hAnsi="Times New Roman"/>
            <w:szCs w:val="21"/>
          </w:rPr>
          <w:fldChar w:fldCharType="separate"/>
        </w:r>
        <w:r>
          <w:rPr>
            <w:rFonts w:ascii="Times New Roman" w:cs="Times New Roman" w:hAnsi="Times New Roman"/>
            <w:szCs w:val="21"/>
          </w:rPr>
          <w:t>13</w:t>
        </w:r>
        <w:r>
          <w:rPr>
            <w:rFonts w:ascii="Times New Roman" w:cs="Times New Roman" w:hAnsi="Times New Roman"/>
            <w:szCs w:val="21"/>
          </w:rPr>
          <w:fldChar w:fldCharType="end"/>
        </w:r>
      </w:hyperlink>
    </w:p>
    <w:p w14:paraId="1D38E772">
      <w:pPr>
        <w:pStyle w:val="TOC1"/>
        <w:spacing w:after="0"/>
        <w:rPr>
          <w:rFonts w:ascii="Times New Roman" w:cs="Times New Roman" w:hAnsi="Times New Roman"/>
          <w:szCs w:val="21"/>
        </w:rPr>
      </w:pPr>
      <w:hyperlink w:anchor="_Toc57364977" w:history="1" w:tooltip="当前文档">
        <w:r>
          <w:rPr>
            <w:rStyle w:val="Hyperlink"/>
            <w:rFonts w:ascii="Times New Roman" w:cs="Times New Roman" w:hAnsi="Times New Roman"/>
            <w:color w:val="auto"/>
            <w:szCs w:val="21"/>
          </w:rPr>
          <w:t>第八部分  基金合同当事人及权利义务</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_Toc57364977 \h </w:instrText>
        </w:r>
        <w:r>
          <w:rPr>
            <w:rFonts w:ascii="Times New Roman" w:cs="Times New Roman" w:hAnsi="Times New Roman"/>
            <w:szCs w:val="21"/>
          </w:rPr>
          <w:fldChar w:fldCharType="separate"/>
        </w:r>
        <w:r>
          <w:rPr>
            <w:rFonts w:ascii="Times New Roman" w:cs="Times New Roman" w:hAnsi="Times New Roman"/>
            <w:szCs w:val="21"/>
          </w:rPr>
          <w:t>19</w:t>
        </w:r>
        <w:r>
          <w:rPr>
            <w:rFonts w:ascii="Times New Roman" w:cs="Times New Roman" w:hAnsi="Times New Roman"/>
            <w:szCs w:val="21"/>
          </w:rPr>
          <w:fldChar w:fldCharType="end"/>
        </w:r>
      </w:hyperlink>
    </w:p>
    <w:p w14:paraId="2B13C49A">
      <w:pPr>
        <w:pStyle w:val="TOC1"/>
        <w:spacing w:after="0"/>
        <w:rPr>
          <w:rFonts w:ascii="Times New Roman" w:cs="Times New Roman" w:hAnsi="Times New Roman"/>
          <w:szCs w:val="21"/>
        </w:rPr>
      </w:pPr>
      <w:hyperlink w:anchor="_Toc57364978" w:history="1" w:tooltip="当前文档">
        <w:r>
          <w:rPr>
            <w:rStyle w:val="Hyperlink"/>
            <w:rFonts w:ascii="Times New Roman" w:cs="Times New Roman" w:hAnsi="Times New Roman"/>
            <w:color w:val="auto"/>
            <w:szCs w:val="21"/>
          </w:rPr>
          <w:t>第九部分  基金份额持有人大会</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_Toc57364978 \h </w:instrText>
        </w:r>
        <w:r>
          <w:rPr>
            <w:rFonts w:ascii="Times New Roman" w:cs="Times New Roman" w:hAnsi="Times New Roman"/>
            <w:szCs w:val="21"/>
          </w:rPr>
          <w:fldChar w:fldCharType="separate"/>
        </w:r>
        <w:r>
          <w:rPr>
            <w:rFonts w:ascii="Times New Roman" w:cs="Times New Roman" w:hAnsi="Times New Roman"/>
            <w:szCs w:val="21"/>
          </w:rPr>
          <w:t>26</w:t>
        </w:r>
        <w:r>
          <w:rPr>
            <w:rFonts w:ascii="Times New Roman" w:cs="Times New Roman" w:hAnsi="Times New Roman"/>
            <w:szCs w:val="21"/>
          </w:rPr>
          <w:fldChar w:fldCharType="end"/>
        </w:r>
      </w:hyperlink>
    </w:p>
    <w:p w14:paraId="306A06A9">
      <w:pPr>
        <w:pStyle w:val="TOC1"/>
        <w:spacing w:after="0"/>
        <w:rPr>
          <w:rFonts w:ascii="Times New Roman" w:cs="Times New Roman" w:hAnsi="Times New Roman"/>
          <w:szCs w:val="21"/>
        </w:rPr>
      </w:pPr>
      <w:hyperlink w:anchor="_Toc57364979" w:history="1" w:tooltip="当前文档">
        <w:r>
          <w:rPr>
            <w:rStyle w:val="Hyperlink"/>
            <w:rFonts w:ascii="Times New Roman" w:cs="Times New Roman" w:hAnsi="Times New Roman"/>
            <w:color w:val="auto"/>
            <w:szCs w:val="21"/>
          </w:rPr>
          <w:t>第十部分  基金管理人、基金托管人的更换条件和程序</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_Toc57364979 \h </w:instrText>
        </w:r>
        <w:r>
          <w:rPr>
            <w:rFonts w:ascii="Times New Roman" w:cs="Times New Roman" w:hAnsi="Times New Roman"/>
            <w:szCs w:val="21"/>
          </w:rPr>
          <w:fldChar w:fldCharType="separate"/>
        </w:r>
        <w:r>
          <w:rPr>
            <w:rFonts w:ascii="Times New Roman" w:cs="Times New Roman" w:hAnsi="Times New Roman"/>
            <w:szCs w:val="21"/>
          </w:rPr>
          <w:t>34</w:t>
        </w:r>
        <w:r>
          <w:rPr>
            <w:rFonts w:ascii="Times New Roman" w:cs="Times New Roman" w:hAnsi="Times New Roman"/>
            <w:szCs w:val="21"/>
          </w:rPr>
          <w:fldChar w:fldCharType="end"/>
        </w:r>
      </w:hyperlink>
    </w:p>
    <w:p w14:paraId="6E8E5C81">
      <w:pPr>
        <w:pStyle w:val="TOC1"/>
        <w:spacing w:after="0"/>
        <w:rPr>
          <w:rFonts w:ascii="Times New Roman" w:cs="Times New Roman" w:hAnsi="Times New Roman"/>
          <w:szCs w:val="21"/>
        </w:rPr>
      </w:pPr>
      <w:hyperlink w:anchor="_Toc57364980" w:history="1" w:tooltip="当前文档">
        <w:r>
          <w:rPr>
            <w:rStyle w:val="Hyperlink"/>
            <w:rFonts w:ascii="Times New Roman" w:cs="Times New Roman" w:hAnsi="Times New Roman"/>
            <w:color w:val="auto"/>
            <w:szCs w:val="21"/>
          </w:rPr>
          <w:t>第十一部分  基金的托管</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_Toc57364980 \h </w:instrText>
        </w:r>
        <w:r>
          <w:rPr>
            <w:rFonts w:ascii="Times New Roman" w:cs="Times New Roman" w:hAnsi="Times New Roman"/>
            <w:szCs w:val="21"/>
          </w:rPr>
          <w:fldChar w:fldCharType="separate"/>
        </w:r>
        <w:r>
          <w:rPr>
            <w:rFonts w:ascii="Times New Roman" w:cs="Times New Roman" w:hAnsi="Times New Roman"/>
            <w:szCs w:val="21"/>
          </w:rPr>
          <w:t>37</w:t>
        </w:r>
        <w:r>
          <w:rPr>
            <w:rFonts w:ascii="Times New Roman" w:cs="Times New Roman" w:hAnsi="Times New Roman"/>
            <w:szCs w:val="21"/>
          </w:rPr>
          <w:fldChar w:fldCharType="end"/>
        </w:r>
      </w:hyperlink>
    </w:p>
    <w:p w14:paraId="667FBC45">
      <w:pPr>
        <w:pStyle w:val="TOC1"/>
        <w:spacing w:after="0"/>
        <w:rPr>
          <w:rFonts w:ascii="Times New Roman" w:cs="Times New Roman" w:hAnsi="Times New Roman"/>
          <w:szCs w:val="21"/>
        </w:rPr>
      </w:pPr>
      <w:hyperlink w:anchor="_Toc57364981" w:history="1" w:tooltip="当前文档">
        <w:r>
          <w:rPr>
            <w:rStyle w:val="Hyperlink"/>
            <w:rFonts w:ascii="Times New Roman" w:cs="Times New Roman" w:hAnsi="Times New Roman"/>
            <w:color w:val="auto"/>
            <w:szCs w:val="21"/>
          </w:rPr>
          <w:t>第十二部分  基金份额的登记</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_Toc57364981 \h </w:instrText>
        </w:r>
        <w:r>
          <w:rPr>
            <w:rFonts w:ascii="Times New Roman" w:cs="Times New Roman" w:hAnsi="Times New Roman"/>
            <w:szCs w:val="21"/>
          </w:rPr>
          <w:fldChar w:fldCharType="separate"/>
        </w:r>
        <w:r>
          <w:rPr>
            <w:rFonts w:ascii="Times New Roman" w:cs="Times New Roman" w:hAnsi="Times New Roman"/>
            <w:szCs w:val="21"/>
          </w:rPr>
          <w:t>38</w:t>
        </w:r>
        <w:r>
          <w:rPr>
            <w:rFonts w:ascii="Times New Roman" w:cs="Times New Roman" w:hAnsi="Times New Roman"/>
            <w:szCs w:val="21"/>
          </w:rPr>
          <w:fldChar w:fldCharType="end"/>
        </w:r>
      </w:hyperlink>
    </w:p>
    <w:p w14:paraId="4D668333">
      <w:pPr>
        <w:pStyle w:val="TOC1"/>
        <w:spacing w:after="0"/>
        <w:rPr>
          <w:rFonts w:ascii="Times New Roman" w:cs="Times New Roman" w:hAnsi="Times New Roman"/>
          <w:szCs w:val="21"/>
        </w:rPr>
      </w:pPr>
      <w:hyperlink w:anchor="_Toc57364982" w:history="1" w:tooltip="当前文档">
        <w:r>
          <w:rPr>
            <w:rStyle w:val="Hyperlink"/>
            <w:rFonts w:ascii="Times New Roman" w:cs="Times New Roman" w:hAnsi="Times New Roman"/>
            <w:color w:val="auto"/>
            <w:szCs w:val="21"/>
          </w:rPr>
          <w:t>第十三部分  基金的投资</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_Toc57364982 \h </w:instrText>
        </w:r>
        <w:r>
          <w:rPr>
            <w:rFonts w:ascii="Times New Roman" w:cs="Times New Roman" w:hAnsi="Times New Roman"/>
            <w:szCs w:val="21"/>
          </w:rPr>
          <w:fldChar w:fldCharType="separate"/>
        </w:r>
        <w:r>
          <w:rPr>
            <w:rFonts w:ascii="Times New Roman" w:cs="Times New Roman" w:hAnsi="Times New Roman"/>
            <w:szCs w:val="21"/>
          </w:rPr>
          <w:t>40</w:t>
        </w:r>
        <w:r>
          <w:rPr>
            <w:rFonts w:ascii="Times New Roman" w:cs="Times New Roman" w:hAnsi="Times New Roman"/>
            <w:szCs w:val="21"/>
          </w:rPr>
          <w:fldChar w:fldCharType="end"/>
        </w:r>
      </w:hyperlink>
    </w:p>
    <w:p w14:paraId="70C41716">
      <w:pPr>
        <w:pStyle w:val="TOC1"/>
        <w:spacing w:after="0"/>
        <w:rPr>
          <w:rFonts w:ascii="Times New Roman" w:cs="Times New Roman" w:hAnsi="Times New Roman"/>
          <w:szCs w:val="21"/>
        </w:rPr>
      </w:pPr>
      <w:hyperlink w:anchor="_Toc57364983" w:history="1" w:tooltip="当前文档">
        <w:r>
          <w:rPr>
            <w:rStyle w:val="Hyperlink"/>
            <w:rFonts w:ascii="Times New Roman" w:cs="Times New Roman" w:hAnsi="Times New Roman"/>
            <w:color w:val="auto"/>
            <w:szCs w:val="21"/>
          </w:rPr>
          <w:t>第十四部分  基金的财产</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_Toc57364983 \h </w:instrText>
        </w:r>
        <w:r>
          <w:rPr>
            <w:rFonts w:ascii="Times New Roman" w:cs="Times New Roman" w:hAnsi="Times New Roman"/>
            <w:szCs w:val="21"/>
          </w:rPr>
          <w:fldChar w:fldCharType="separate"/>
        </w:r>
        <w:r>
          <w:rPr>
            <w:rFonts w:ascii="Times New Roman" w:cs="Times New Roman" w:hAnsi="Times New Roman"/>
            <w:szCs w:val="21"/>
          </w:rPr>
          <w:t>47</w:t>
        </w:r>
        <w:r>
          <w:rPr>
            <w:rFonts w:ascii="Times New Roman" w:cs="Times New Roman" w:hAnsi="Times New Roman"/>
            <w:szCs w:val="21"/>
          </w:rPr>
          <w:fldChar w:fldCharType="end"/>
        </w:r>
      </w:hyperlink>
    </w:p>
    <w:p w14:paraId="2DB6A5D9">
      <w:pPr>
        <w:pStyle w:val="TOC1"/>
        <w:spacing w:after="0"/>
        <w:rPr>
          <w:rFonts w:ascii="Times New Roman" w:cs="Times New Roman" w:hAnsi="Times New Roman"/>
          <w:szCs w:val="21"/>
        </w:rPr>
      </w:pPr>
      <w:hyperlink w:anchor="_Toc57364984" w:history="1" w:tooltip="当前文档">
        <w:r>
          <w:rPr>
            <w:rStyle w:val="Hyperlink"/>
            <w:rFonts w:ascii="Times New Roman" w:cs="Times New Roman" w:hAnsi="Times New Roman"/>
            <w:color w:val="auto"/>
            <w:szCs w:val="21"/>
          </w:rPr>
          <w:t>第十五部分  基金资产估值</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_Toc57364984 \h </w:instrText>
        </w:r>
        <w:r>
          <w:rPr>
            <w:rFonts w:ascii="Times New Roman" w:cs="Times New Roman" w:hAnsi="Times New Roman"/>
            <w:szCs w:val="21"/>
          </w:rPr>
          <w:fldChar w:fldCharType="separate"/>
        </w:r>
        <w:r>
          <w:rPr>
            <w:rFonts w:ascii="Times New Roman" w:cs="Times New Roman" w:hAnsi="Times New Roman"/>
            <w:szCs w:val="21"/>
          </w:rPr>
          <w:t>48</w:t>
        </w:r>
        <w:r>
          <w:rPr>
            <w:rFonts w:ascii="Times New Roman" w:cs="Times New Roman" w:hAnsi="Times New Roman"/>
            <w:szCs w:val="21"/>
          </w:rPr>
          <w:fldChar w:fldCharType="end"/>
        </w:r>
      </w:hyperlink>
    </w:p>
    <w:p w14:paraId="53053D3D">
      <w:pPr>
        <w:pStyle w:val="TOC1"/>
        <w:spacing w:after="0"/>
        <w:rPr>
          <w:rFonts w:ascii="Times New Roman" w:cs="Times New Roman" w:hAnsi="Times New Roman"/>
          <w:szCs w:val="21"/>
        </w:rPr>
      </w:pPr>
      <w:hyperlink w:anchor="_Toc57364985" w:history="1" w:tooltip="当前文档">
        <w:r>
          <w:rPr>
            <w:rStyle w:val="Hyperlink"/>
            <w:rFonts w:ascii="Times New Roman" w:cs="Times New Roman" w:hAnsi="Times New Roman"/>
            <w:color w:val="auto"/>
            <w:szCs w:val="21"/>
          </w:rPr>
          <w:t>第十六部分  基金费用与税收</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_Toc57364985 \h </w:instrText>
        </w:r>
        <w:r>
          <w:rPr>
            <w:rFonts w:ascii="Times New Roman" w:cs="Times New Roman" w:hAnsi="Times New Roman"/>
            <w:szCs w:val="21"/>
          </w:rPr>
          <w:fldChar w:fldCharType="separate"/>
        </w:r>
        <w:r>
          <w:rPr>
            <w:rFonts w:ascii="Times New Roman" w:cs="Times New Roman" w:hAnsi="Times New Roman"/>
            <w:szCs w:val="21"/>
          </w:rPr>
          <w:t>54</w:t>
        </w:r>
        <w:r>
          <w:rPr>
            <w:rFonts w:ascii="Times New Roman" w:cs="Times New Roman" w:hAnsi="Times New Roman"/>
            <w:szCs w:val="21"/>
          </w:rPr>
          <w:fldChar w:fldCharType="end"/>
        </w:r>
      </w:hyperlink>
    </w:p>
    <w:p w14:paraId="0B0B2AF9">
      <w:pPr>
        <w:pStyle w:val="TOC1"/>
        <w:spacing w:after="0"/>
        <w:rPr>
          <w:rFonts w:ascii="Times New Roman" w:cs="Times New Roman" w:hAnsi="Times New Roman"/>
          <w:szCs w:val="21"/>
        </w:rPr>
      </w:pPr>
      <w:hyperlink w:anchor="_Toc57364986" w:history="1" w:tooltip="当前文档">
        <w:r>
          <w:rPr>
            <w:rStyle w:val="Hyperlink"/>
            <w:rFonts w:ascii="Times New Roman" w:cs="Times New Roman" w:hAnsi="Times New Roman"/>
            <w:color w:val="auto"/>
            <w:szCs w:val="21"/>
          </w:rPr>
          <w:t>第十七部分  基金的收益与分配</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_Toc57364986 \h </w:instrText>
        </w:r>
        <w:r>
          <w:rPr>
            <w:rFonts w:ascii="Times New Roman" w:cs="Times New Roman" w:hAnsi="Times New Roman"/>
            <w:szCs w:val="21"/>
          </w:rPr>
          <w:fldChar w:fldCharType="separate"/>
        </w:r>
        <w:r>
          <w:rPr>
            <w:rFonts w:ascii="Times New Roman" w:cs="Times New Roman" w:hAnsi="Times New Roman"/>
            <w:szCs w:val="21"/>
          </w:rPr>
          <w:t>56</w:t>
        </w:r>
        <w:r>
          <w:rPr>
            <w:rFonts w:ascii="Times New Roman" w:cs="Times New Roman" w:hAnsi="Times New Roman"/>
            <w:szCs w:val="21"/>
          </w:rPr>
          <w:fldChar w:fldCharType="end"/>
        </w:r>
      </w:hyperlink>
    </w:p>
    <w:p w14:paraId="467C55D1">
      <w:pPr>
        <w:pStyle w:val="TOC1"/>
        <w:spacing w:after="0"/>
        <w:rPr>
          <w:rFonts w:ascii="Times New Roman" w:cs="Times New Roman" w:hAnsi="Times New Roman"/>
          <w:szCs w:val="21"/>
        </w:rPr>
      </w:pPr>
      <w:hyperlink w:anchor="_Toc57364987" w:history="1" w:tooltip="当前文档">
        <w:r>
          <w:rPr>
            <w:rStyle w:val="Hyperlink"/>
            <w:rFonts w:ascii="Times New Roman" w:cs="Times New Roman" w:hAnsi="Times New Roman"/>
            <w:color w:val="auto"/>
            <w:szCs w:val="21"/>
          </w:rPr>
          <w:t>第十八部分  基金的会计与审计</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_Toc57364987 \h </w:instrText>
        </w:r>
        <w:r>
          <w:rPr>
            <w:rFonts w:ascii="Times New Roman" w:cs="Times New Roman" w:hAnsi="Times New Roman"/>
            <w:szCs w:val="21"/>
          </w:rPr>
          <w:fldChar w:fldCharType="separate"/>
        </w:r>
        <w:r>
          <w:rPr>
            <w:rFonts w:ascii="Times New Roman" w:cs="Times New Roman" w:hAnsi="Times New Roman"/>
            <w:szCs w:val="21"/>
          </w:rPr>
          <w:t>57</w:t>
        </w:r>
        <w:r>
          <w:rPr>
            <w:rFonts w:ascii="Times New Roman" w:cs="Times New Roman" w:hAnsi="Times New Roman"/>
            <w:szCs w:val="21"/>
          </w:rPr>
          <w:fldChar w:fldCharType="end"/>
        </w:r>
      </w:hyperlink>
    </w:p>
    <w:p w14:paraId="2AF51815">
      <w:pPr>
        <w:pStyle w:val="TOC1"/>
        <w:spacing w:after="0"/>
        <w:rPr>
          <w:rFonts w:ascii="Times New Roman" w:cs="Times New Roman" w:hAnsi="Times New Roman"/>
          <w:szCs w:val="21"/>
        </w:rPr>
      </w:pPr>
      <w:hyperlink w:anchor="_Toc57364988" w:history="1" w:tooltip="当前文档">
        <w:r>
          <w:rPr>
            <w:rStyle w:val="Hyperlink"/>
            <w:rFonts w:ascii="Times New Roman" w:cs="Times New Roman" w:hAnsi="Times New Roman"/>
            <w:color w:val="auto"/>
            <w:szCs w:val="21"/>
          </w:rPr>
          <w:t>第十九部分  基金的信息披露</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_Toc57364988 \h </w:instrText>
        </w:r>
        <w:r>
          <w:rPr>
            <w:rFonts w:ascii="Times New Roman" w:cs="Times New Roman" w:hAnsi="Times New Roman"/>
            <w:szCs w:val="21"/>
          </w:rPr>
          <w:fldChar w:fldCharType="separate"/>
        </w:r>
        <w:r>
          <w:rPr>
            <w:rFonts w:ascii="Times New Roman" w:cs="Times New Roman" w:hAnsi="Times New Roman"/>
            <w:szCs w:val="21"/>
          </w:rPr>
          <w:t>58</w:t>
        </w:r>
        <w:r>
          <w:rPr>
            <w:rFonts w:ascii="Times New Roman" w:cs="Times New Roman" w:hAnsi="Times New Roman"/>
            <w:szCs w:val="21"/>
          </w:rPr>
          <w:fldChar w:fldCharType="end"/>
        </w:r>
      </w:hyperlink>
    </w:p>
    <w:p w14:paraId="17A99959">
      <w:pPr>
        <w:pStyle w:val="TOC1"/>
        <w:spacing w:after="0"/>
        <w:rPr>
          <w:rFonts w:ascii="Times New Roman" w:cs="Times New Roman" w:hAnsi="Times New Roman"/>
          <w:szCs w:val="21"/>
        </w:rPr>
      </w:pPr>
      <w:hyperlink w:anchor="_Toc57364989" w:history="1" w:tooltip="当前文档">
        <w:r>
          <w:rPr>
            <w:rStyle w:val="Hyperlink"/>
            <w:rFonts w:ascii="Times New Roman" w:cs="Times New Roman" w:hAnsi="Times New Roman"/>
            <w:color w:val="auto"/>
            <w:szCs w:val="21"/>
          </w:rPr>
          <w:t>第二十部分  基金合同的变更、终止与基金财产的清算</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_Toc57364989 \h </w:instrText>
        </w:r>
        <w:r>
          <w:rPr>
            <w:rFonts w:ascii="Times New Roman" w:cs="Times New Roman" w:hAnsi="Times New Roman"/>
            <w:szCs w:val="21"/>
          </w:rPr>
          <w:fldChar w:fldCharType="separate"/>
        </w:r>
        <w:r>
          <w:rPr>
            <w:rFonts w:ascii="Times New Roman" w:cs="Times New Roman" w:hAnsi="Times New Roman"/>
            <w:szCs w:val="21"/>
          </w:rPr>
          <w:t>65</w:t>
        </w:r>
        <w:r>
          <w:rPr>
            <w:rFonts w:ascii="Times New Roman" w:cs="Times New Roman" w:hAnsi="Times New Roman"/>
            <w:szCs w:val="21"/>
          </w:rPr>
          <w:fldChar w:fldCharType="end"/>
        </w:r>
      </w:hyperlink>
    </w:p>
    <w:p w14:paraId="606CBC41">
      <w:pPr>
        <w:pStyle w:val="TOC1"/>
        <w:spacing w:after="0"/>
        <w:rPr>
          <w:rFonts w:ascii="Times New Roman" w:cs="Times New Roman" w:hAnsi="Times New Roman"/>
          <w:szCs w:val="21"/>
        </w:rPr>
      </w:pPr>
      <w:hyperlink w:anchor="_Toc57364990" w:history="1" w:tooltip="当前文档">
        <w:r>
          <w:rPr>
            <w:rStyle w:val="Hyperlink"/>
            <w:rFonts w:ascii="Times New Roman" w:cs="Times New Roman" w:hAnsi="Times New Roman"/>
            <w:color w:val="auto"/>
            <w:szCs w:val="21"/>
          </w:rPr>
          <w:t>第二十一部分  违约责任</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_Toc57364990 \h </w:instrText>
        </w:r>
        <w:r>
          <w:rPr>
            <w:rFonts w:ascii="Times New Roman" w:cs="Times New Roman" w:hAnsi="Times New Roman"/>
            <w:szCs w:val="21"/>
          </w:rPr>
          <w:fldChar w:fldCharType="separate"/>
        </w:r>
        <w:r>
          <w:rPr>
            <w:rFonts w:ascii="Times New Roman" w:cs="Times New Roman" w:hAnsi="Times New Roman"/>
            <w:szCs w:val="21"/>
          </w:rPr>
          <w:t>67</w:t>
        </w:r>
        <w:r>
          <w:rPr>
            <w:rFonts w:ascii="Times New Roman" w:cs="Times New Roman" w:hAnsi="Times New Roman"/>
            <w:szCs w:val="21"/>
          </w:rPr>
          <w:fldChar w:fldCharType="end"/>
        </w:r>
      </w:hyperlink>
    </w:p>
    <w:p w14:paraId="467EEA0C">
      <w:pPr>
        <w:pStyle w:val="TOC1"/>
        <w:spacing w:after="0"/>
        <w:rPr>
          <w:rFonts w:ascii="Times New Roman" w:cs="Times New Roman" w:hAnsi="Times New Roman"/>
          <w:szCs w:val="21"/>
        </w:rPr>
      </w:pPr>
      <w:hyperlink w:anchor="_Toc57364991" w:history="1" w:tooltip="当前文档">
        <w:r>
          <w:rPr>
            <w:rStyle w:val="Hyperlink"/>
            <w:rFonts w:ascii="Times New Roman" w:cs="Times New Roman" w:hAnsi="Times New Roman"/>
            <w:color w:val="auto"/>
            <w:szCs w:val="21"/>
          </w:rPr>
          <w:t>第二十二部分  争议的处理和适用的法律</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_Toc57364991 \h </w:instrText>
        </w:r>
        <w:r>
          <w:rPr>
            <w:rFonts w:ascii="Times New Roman" w:cs="Times New Roman" w:hAnsi="Times New Roman"/>
            <w:szCs w:val="21"/>
          </w:rPr>
          <w:fldChar w:fldCharType="separate"/>
        </w:r>
        <w:r>
          <w:rPr>
            <w:rFonts w:ascii="Times New Roman" w:cs="Times New Roman" w:hAnsi="Times New Roman"/>
            <w:szCs w:val="21"/>
          </w:rPr>
          <w:t>68</w:t>
        </w:r>
        <w:r>
          <w:rPr>
            <w:rFonts w:ascii="Times New Roman" w:cs="Times New Roman" w:hAnsi="Times New Roman"/>
            <w:szCs w:val="21"/>
          </w:rPr>
          <w:fldChar w:fldCharType="end"/>
        </w:r>
      </w:hyperlink>
    </w:p>
    <w:p w14:paraId="0DE59F6F">
      <w:pPr>
        <w:pStyle w:val="TOC1"/>
        <w:spacing w:after="0"/>
        <w:rPr>
          <w:rFonts w:ascii="Times New Roman" w:cs="Times New Roman" w:hAnsi="Times New Roman"/>
          <w:szCs w:val="21"/>
        </w:rPr>
      </w:pPr>
      <w:hyperlink w:anchor="_Toc57364992" w:history="1" w:tooltip="当前文档">
        <w:r>
          <w:rPr>
            <w:rStyle w:val="Hyperlink"/>
            <w:rFonts w:ascii="Times New Roman" w:cs="Times New Roman" w:hAnsi="Times New Roman"/>
            <w:color w:val="auto"/>
            <w:szCs w:val="21"/>
          </w:rPr>
          <w:t>第二十三部分  基金合同的效力</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_Toc57364992 \h </w:instrText>
        </w:r>
        <w:r>
          <w:rPr>
            <w:rFonts w:ascii="Times New Roman" w:cs="Times New Roman" w:hAnsi="Times New Roman"/>
            <w:szCs w:val="21"/>
          </w:rPr>
          <w:fldChar w:fldCharType="separate"/>
        </w:r>
        <w:r>
          <w:rPr>
            <w:rFonts w:ascii="Times New Roman" w:cs="Times New Roman" w:hAnsi="Times New Roman"/>
            <w:szCs w:val="21"/>
          </w:rPr>
          <w:t>69</w:t>
        </w:r>
        <w:r>
          <w:rPr>
            <w:rFonts w:ascii="Times New Roman" w:cs="Times New Roman" w:hAnsi="Times New Roman"/>
            <w:szCs w:val="21"/>
          </w:rPr>
          <w:fldChar w:fldCharType="end"/>
        </w:r>
      </w:hyperlink>
    </w:p>
    <w:p w14:paraId="3D222D55">
      <w:pPr>
        <w:pStyle w:val="TOC1"/>
        <w:spacing w:after="0"/>
        <w:rPr>
          <w:rFonts w:ascii="Times New Roman" w:cs="Times New Roman" w:hAnsi="Times New Roman"/>
          <w:szCs w:val="21"/>
        </w:rPr>
      </w:pPr>
      <w:hyperlink w:anchor="_Toc57364993" w:history="1" w:tooltip="当前文档">
        <w:r>
          <w:rPr>
            <w:rStyle w:val="Hyperlink"/>
            <w:rFonts w:ascii="Times New Roman" w:cs="Times New Roman" w:hAnsi="Times New Roman"/>
            <w:color w:val="auto"/>
            <w:szCs w:val="21"/>
          </w:rPr>
          <w:t>第二十四部分  其他事项</w:t>
        </w:r>
        <w:r>
          <w:rPr>
            <w:rFonts w:ascii="Times New Roman" w:cs="Times New Roman" w:hAnsi="Times New Roman"/>
            <w:szCs w:val="21"/>
          </w:rPr>
          <w:tab/>
        </w:r>
        <w:r>
          <w:rPr>
            <w:rFonts w:ascii="Times New Roman" w:cs="Times New Roman" w:hAnsi="Times New Roman"/>
            <w:szCs w:val="21"/>
          </w:rPr>
          <w:fldChar w:fldCharType="begin"/>
        </w:r>
        <w:r>
          <w:rPr>
            <w:rFonts w:ascii="Times New Roman" w:cs="Times New Roman" w:hAnsi="Times New Roman"/>
            <w:szCs w:val="21"/>
          </w:rPr>
          <w:instrText xml:space="preserve"> PAGEREF _Toc57364993 \h </w:instrText>
        </w:r>
        <w:r>
          <w:rPr>
            <w:rFonts w:ascii="Times New Roman" w:cs="Times New Roman" w:hAnsi="Times New Roman"/>
            <w:szCs w:val="21"/>
          </w:rPr>
          <w:fldChar w:fldCharType="separate"/>
        </w:r>
        <w:r>
          <w:rPr>
            <w:rFonts w:ascii="Times New Roman" w:cs="Times New Roman" w:hAnsi="Times New Roman"/>
            <w:szCs w:val="21"/>
          </w:rPr>
          <w:t>70</w:t>
        </w:r>
        <w:r>
          <w:rPr>
            <w:rFonts w:ascii="Times New Roman" w:cs="Times New Roman" w:hAnsi="Times New Roman"/>
            <w:szCs w:val="21"/>
          </w:rPr>
          <w:fldChar w:fldCharType="end"/>
        </w:r>
      </w:hyperlink>
    </w:p>
    <w:p w14:paraId="6331DEB5">
      <w:pPr>
        <w:pStyle w:val="Heading1"/>
        <w:spacing w:after="0" w:before="0" w:line="240" w:lineRule="auto"/>
        <w:jc w:val="left"/>
        <w:rPr>
          <w:rFonts w:ascii="Times New Roman" w:cs="Times New Roman" w:hAnsi="Times New Roman"/>
          <w:b w:val="0"/>
          <w:bCs/>
          <w:color w:val="auto"/>
          <w:sz w:val="21"/>
          <w:szCs w:val="21"/>
        </w:rPr>
        <w:sectPr>
          <w:headerReference r:id="rId9" w:type="default"/>
          <w:pgSz w:h="16838" w:w="11906"/>
          <w:pgMar w:bottom="1440" w:footer="992" w:gutter="0" w:header="851" w:left="1800" w:right="1800" w:top="1440"/>
          <w:pgNumType w:start="1"/>
          <w:cols w:num="1" w:space="720"/>
          <w:docGrid w:charSpace="0" w:linePitch="312" w:type="lines"/>
        </w:sectPr>
      </w:pPr>
      <w:r>
        <w:rPr>
          <w:rFonts w:ascii="Times New Roman" w:cs="Times New Roman" w:hAnsi="Times New Roman"/>
          <w:b w:val="0"/>
          <w:bCs/>
          <w:color w:val="auto"/>
          <w:sz w:val="21"/>
          <w:szCs w:val="21"/>
        </w:rPr>
        <w:fldChar w:fldCharType="end"/>
      </w:r>
      <w:bookmarkStart w:id="24" w:name="_Toc15517"/>
      <w:bookmarkStart w:id="25" w:name="_Toc30935"/>
      <w:bookmarkStart w:id="26" w:name="_Toc8727"/>
      <w:bookmarkStart w:id="27" w:name="_Toc29629"/>
      <w:bookmarkStart w:id="28" w:name="_Toc141703880"/>
      <w:bookmarkStart w:id="29" w:name="_Toc32639"/>
      <w:bookmarkStart w:id="30" w:name="_Toc4867"/>
      <w:bookmarkStart w:id="31" w:name="_Toc26897"/>
      <w:bookmarkStart w:id="32" w:name="_Toc23386"/>
      <w:bookmarkStart w:id="33" w:name="_Toc6306"/>
      <w:bookmarkStart w:id="34" w:name="_Toc139991730"/>
      <w:bookmarkStart w:id="35" w:name="_Toc4966"/>
      <w:bookmarkStart w:id="36" w:name="_Toc123701389"/>
      <w:bookmarkStart w:id="37" w:name="_Toc123112268"/>
      <w:bookmarkStart w:id="38" w:name="_Toc123112229"/>
      <w:bookmarkStart w:id="39" w:name="_Toc233456271"/>
    </w:p>
    <w:p w14:paraId="0B39B4E0">
      <w:pPr>
        <w:pStyle w:val="Heading1"/>
        <w:spacing w:after="0" w:before="0"/>
        <w:jc w:val="center"/>
        <w:rPr>
          <w:rFonts w:ascii="Times New Roman" w:cs="Times New Roman" w:hAnsi="Times New Roman"/>
          <w:color w:val="auto"/>
          <w:sz w:val="21"/>
          <w:szCs w:val="21"/>
          <w:lang w:eastAsia="zh-CN"/>
        </w:rPr>
      </w:pPr>
      <w:bookmarkStart w:id="40" w:name="_Toc57364970"/>
      <w:bookmarkStart w:id="41" w:name="_Toc14078719"/>
      <w:bookmarkStart w:id="42" w:name="_Toc11660"/>
      <w:bookmarkStart w:id="43" w:name="_Toc11159924"/>
      <w:bookmarkStart w:id="44" w:name="_Toc8378329"/>
      <w:bookmarkStart w:id="45" w:name="_Toc100246516"/>
      <w:r>
        <w:rPr>
          <w:rFonts w:ascii="Times New Roman" w:cs="Times New Roman" w:hAnsi="Times New Roman"/>
          <w:color w:val="auto"/>
          <w:sz w:val="21"/>
          <w:szCs w:val="21"/>
          <w:lang w:eastAsia="zh-CN"/>
        </w:rPr>
        <w:t>第一部分  前言</w:t>
      </w:r>
      <w:bookmarkEnd w:id="24"/>
      <w:bookmarkEnd w:id="25"/>
      <w:bookmarkEnd w:id="26"/>
      <w:bookmarkEnd w:id="27"/>
      <w:bookmarkEnd w:id="28"/>
      <w:bookmarkEnd w:id="29"/>
      <w:bookmarkEnd w:id="30"/>
      <w:bookmarkEnd w:id="31"/>
      <w:bookmarkEnd w:id="32"/>
      <w:bookmarkEnd w:id="33"/>
      <w:bookmarkEnd w:id="34"/>
      <w:bookmarkEnd w:id="35"/>
      <w:bookmarkEnd w:id="40"/>
      <w:bookmarkEnd w:id="41"/>
      <w:bookmarkEnd w:id="42"/>
      <w:bookmarkEnd w:id="43"/>
      <w:bookmarkEnd w:id="44"/>
      <w:bookmarkEnd w:id="45"/>
    </w:p>
    <w:p w14:paraId="3FDCB72A">
      <w:pPr>
        <w:spacing w:after="0"/>
        <w:rPr>
          <w:rFonts w:ascii="Times New Roman" w:cs="Times New Roman" w:hAnsi="Times New Roman"/>
          <w:bCs/>
          <w:szCs w:val="21"/>
          <w:lang w:eastAsia="zh-CN"/>
        </w:rPr>
      </w:pPr>
      <w:bookmarkStart w:id="46" w:name="_Toc139991731"/>
    </w:p>
    <w:bookmarkEnd w:id="36"/>
    <w:bookmarkEnd w:id="37"/>
    <w:bookmarkEnd w:id="38"/>
    <w:bookmarkEnd w:id="46"/>
    <w:p w14:paraId="116B8C2B">
      <w:pPr>
        <w:spacing w:after="0" w:line="360" w:lineRule="auto"/>
        <w:ind w:firstLine="420"/>
        <w:rPr>
          <w:rFonts w:ascii="Times New Roman" w:cs="Times New Roman" w:hAnsi="Times New Roman"/>
          <w:bCs/>
          <w:szCs w:val="21"/>
          <w:lang w:eastAsia="zh-CN"/>
        </w:rPr>
      </w:pPr>
      <w:bookmarkStart w:id="47" w:name="_Toc258829399"/>
      <w:r>
        <w:rPr>
          <w:rFonts w:ascii="Times New Roman" w:cs="Times New Roman" w:hAnsi="Times New Roman"/>
          <w:bCs/>
          <w:szCs w:val="21"/>
          <w:lang w:eastAsia="zh-CN"/>
        </w:rPr>
        <w:t>一、订立本基金合同的目的、依据和原则</w:t>
      </w:r>
    </w:p>
    <w:p w14:paraId="65ED132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1、订立本基金合同的目的是保护投资人合法权益，明确基金合同当事人的权利义务，规范基金运作。</w:t>
      </w:r>
    </w:p>
    <w:p w14:paraId="5304AE9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2、订立本基金合同的依据是《中华人民共和国民法典》、《中华人民共和国证券法》(以下简称“《证券法》”)、《中华人民共和国证券投资基金法》(以下简称“《基金法》”)、《</w:t>
      </w:r>
      <w:r>
        <w:rPr>
          <w:rFonts w:ascii="Times New Roman" w:cs="Times New Roman" w:hAnsi="Times New Roman"/>
          <w:szCs w:val="21"/>
          <w:lang w:eastAsia="zh-CN"/>
        </w:rPr>
        <w:t>公开募集</w:t>
      </w:r>
      <w:r>
        <w:rPr>
          <w:rFonts w:ascii="Times New Roman" w:cs="Times New Roman" w:hAnsi="Times New Roman"/>
          <w:bCs/>
          <w:szCs w:val="21"/>
          <w:lang w:eastAsia="zh-CN"/>
        </w:rPr>
        <w:t>证券投资基金运作管理办法》(以下简称“《运作办法》”)、《公开募集证券投资基金销售机构监督管理办法》(以下简称“《销售办法》”)、《公开募集证券投资基金信息披露管理办法》(以下简称“《信息披露办法》”)、</w:t>
      </w:r>
      <w:r>
        <w:rPr>
          <w:rFonts w:ascii="Times New Roman" w:cs="Times New Roman" w:hAnsi="Times New Roman"/>
          <w:szCs w:val="21"/>
          <w:lang w:eastAsia="zh-CN"/>
        </w:rPr>
        <w:t>《公开募集开放式证券投资基金流动性风险管理规定》（以下简称“《流动性风险管理规定》”）、《公开募集证券投资基金运作指引第3号——指数基金指引》（以下简称“《指数基金指引》”）</w:t>
      </w:r>
      <w:r>
        <w:rPr>
          <w:rFonts w:ascii="Times New Roman" w:cs="Times New Roman" w:hAnsi="Times New Roman"/>
          <w:bCs/>
          <w:szCs w:val="21"/>
          <w:lang w:eastAsia="zh-CN"/>
        </w:rPr>
        <w:t>和其他有关法律法规。</w:t>
      </w:r>
    </w:p>
    <w:p w14:paraId="75AA8E2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3、订立本基金合同的原则是平等自愿、诚实信用、充分保护投资人合法权益。</w:t>
      </w:r>
    </w:p>
    <w:p w14:paraId="2B1C49F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74E031C">
      <w:pPr>
        <w:spacing w:after="0" w:line="360" w:lineRule="auto"/>
        <w:ind w:firstLine="420"/>
        <w:rPr>
          <w:rFonts w:ascii="Times New Roman" w:cs="Times New Roman" w:hAnsi="Times New Roman"/>
          <w:b/>
          <w:bCs/>
          <w:szCs w:val="21"/>
          <w:lang w:eastAsia="zh-CN"/>
        </w:rPr>
      </w:pPr>
      <w:r>
        <w:rPr>
          <w:rFonts w:ascii="Times New Roman" w:cs="Times New Roman" w:hAnsi="Times New Roman"/>
          <w:bCs/>
          <w:szCs w:val="21"/>
          <w:lang w:eastAsia="zh-CN"/>
        </w:rPr>
        <w:t>基金合同的当事人包括基金管理人、基金托管人和基金份额持有人。</w:t>
      </w:r>
      <w:r>
        <w:rPr>
          <w:rFonts w:ascii="Times New Roman" w:cs="Times New Roman" w:hAnsi="Times New Roman"/>
          <w:b/>
          <w:bCs/>
          <w:szCs w:val="21"/>
          <w:lang w:eastAsia="zh-CN"/>
        </w:rPr>
        <w:t>基金投资人自依本基金合同取得基金份额，即成为基金份额持有人和本基金合同的当事人，其持有基金份额的行为本身即表明其对基金合同的承认和接受。</w:t>
      </w:r>
    </w:p>
    <w:p w14:paraId="06DA31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三、华夏中证卫星产业交易型开放式指数证券投资基金由基金管理人依照《基金法》、基金合同及其他有关规定募集，并经中国证券监督管理委员会(以下简称“中国证监会”)注册。</w:t>
      </w:r>
    </w:p>
    <w:p w14:paraId="7BA8C2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中国证监会对本基金募集的注册，并不表明其对本基金的投资价值和市场前景做出实质性判断或保证，也不表明投资于本基金没有风险。</w:t>
      </w:r>
    </w:p>
    <w:p w14:paraId="1446162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本基金为指数基金，投资者投资于本基金面临跟踪误差控制未达投资目标、指数编制机构停止服务</w:t>
      </w:r>
      <w:bookmarkStart w:id="48" w:name="_Hlk106117390"/>
      <w:r>
        <w:rPr>
          <w:rFonts w:ascii="Times New Roman" w:cs="Times New Roman" w:hAnsi="Times New Roman"/>
          <w:bCs/>
          <w:szCs w:val="21"/>
          <w:lang w:eastAsia="zh-CN"/>
        </w:rPr>
        <w:t>、成份股停牌</w:t>
      </w:r>
      <w:bookmarkEnd w:id="48"/>
      <w:r>
        <w:rPr>
          <w:rFonts w:ascii="Times New Roman" w:cs="Times New Roman" w:hAnsi="Times New Roman"/>
          <w:bCs/>
          <w:szCs w:val="21"/>
          <w:lang w:eastAsia="zh-CN"/>
        </w:rPr>
        <w:t>或退市等潜在风险，详见本基金招募说明书。</w:t>
      </w:r>
    </w:p>
    <w:p w14:paraId="5FCBB9F1">
      <w:pPr>
        <w:spacing w:after="0" w:line="360" w:lineRule="auto"/>
        <w:ind w:firstLine="420"/>
        <w:rPr>
          <w:rFonts w:ascii="Times New Roman" w:cs="Times New Roman" w:hAnsi="Times New Roman"/>
          <w:b/>
          <w:szCs w:val="21"/>
          <w:lang w:eastAsia="zh-CN"/>
        </w:rPr>
      </w:pPr>
      <w:r>
        <w:rPr>
          <w:rFonts w:ascii="Times New Roman" w:cs="Times New Roman" w:hAnsi="Times New Roman"/>
          <w:bCs/>
          <w:szCs w:val="21"/>
          <w:lang w:eastAsia="zh-CN"/>
        </w:rPr>
        <w:t>基金管理人依照恪尽职守、诚实信用、谨慎勤勉的原则管理和运用基金财产，</w:t>
      </w:r>
      <w:r>
        <w:rPr>
          <w:rFonts w:ascii="Times New Roman" w:cs="Times New Roman" w:hAnsi="Times New Roman"/>
          <w:b/>
          <w:bCs/>
          <w:szCs w:val="21"/>
          <w:lang w:eastAsia="zh-CN"/>
        </w:rPr>
        <w:t>但不保证投资于本基金一定盈利，也不保证最低收益。</w:t>
      </w:r>
    </w:p>
    <w:p w14:paraId="25A9371B">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投资者应当认真阅读基金招募说明书、基金合同、基金产品资料概要等信息披露文件，自主判断基金的投资价值，自主做出投资决策，自行承担投资风险。投资者应当认真阅读并完全理解基金合同第二十一部分规定的免责条款、第二十二部分规定的争议处理方式。</w:t>
      </w:r>
    </w:p>
    <w:p w14:paraId="67B3D781">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四</w:t>
      </w:r>
      <w:r>
        <w:rPr>
          <w:rFonts w:ascii="Times New Roman" w:cs="Times New Roman" w:hAnsi="Times New Roman"/>
          <w:bCs/>
          <w:szCs w:val="21"/>
          <w:lang w:eastAsia="zh-CN"/>
        </w:rPr>
        <w:t>、基金份额持有人承诺其知悉《中华人民共和国反洗钱法》、《中国人民银行关于加强开户管理及可疑交易报告后续控制措施的通知》、《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业务进行洗钱、恐怖融资等违法犯罪活动。</w:t>
      </w:r>
    </w:p>
    <w:p w14:paraId="795F61C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基金份额持有人承诺，其不属于中国认可的联合国、中国有权机关或其他司法管辖区有权机关制裁名单内的企业或个人，不位于被中国认可的联合国、中国有权机关或其他司法管辖区有权机关制裁的国家和地区。</w:t>
      </w:r>
    </w:p>
    <w:p w14:paraId="5B36068C">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五</w:t>
      </w:r>
      <w:r>
        <w:rPr>
          <w:rFonts w:ascii="Times New Roman" w:cs="Times New Roman" w:hAnsi="Times New Roman"/>
          <w:bCs/>
          <w:szCs w:val="21"/>
          <w:lang w:eastAsia="zh-CN"/>
        </w:rPr>
        <w:t>、基金管理人、基金托管人在本基金合同之外披露涉及本基金的信息，其内容涉及界定基金合同当事人之间权利义务关系的，如与基金合同有冲突，以基金合同为准。</w:t>
      </w:r>
    </w:p>
    <w:p w14:paraId="42A6162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六</w:t>
      </w:r>
      <w:r>
        <w:rPr>
          <w:rFonts w:ascii="Times New Roman" w:cs="Times New Roman" w:hAnsi="Times New Roman"/>
          <w:bCs/>
          <w:szCs w:val="21"/>
          <w:lang w:eastAsia="zh-CN"/>
        </w:rPr>
        <w:t>、本基金按照中国法律法规成立并运作，若基金合同的内容与届时有效的法律法规的强制性规定不一致，应当以届时有效的法律法规的规定为准。</w:t>
      </w:r>
    </w:p>
    <w:p w14:paraId="78ADBD12">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49" w:name="_Toc2465"/>
      <w:bookmarkStart w:id="50" w:name="_Toc3224"/>
      <w:bookmarkStart w:id="51" w:name="_Toc6617"/>
      <w:bookmarkStart w:id="52" w:name="_Toc100246517"/>
      <w:bookmarkStart w:id="53" w:name="_Toc31551"/>
      <w:bookmarkStart w:id="54" w:name="_Toc21301"/>
      <w:bookmarkStart w:id="55" w:name="_Toc14078720"/>
      <w:bookmarkStart w:id="56" w:name="_Toc819"/>
      <w:bookmarkStart w:id="57" w:name="_Toc24860"/>
      <w:bookmarkStart w:id="58" w:name="_Toc11159925"/>
      <w:bookmarkStart w:id="59" w:name="_Toc22864"/>
      <w:bookmarkStart w:id="60" w:name="_Toc15067"/>
      <w:bookmarkStart w:id="61" w:name="_Toc57364971"/>
      <w:bookmarkStart w:id="62" w:name="_Toc13020"/>
      <w:bookmarkStart w:id="63" w:name="_Toc19592"/>
      <w:bookmarkStart w:id="64" w:name="_Hlk45877470"/>
      <w:r>
        <w:rPr>
          <w:rFonts w:ascii="Times New Roman" w:cs="Times New Roman" w:hAnsi="Times New Roman"/>
          <w:color w:val="auto"/>
          <w:sz w:val="21"/>
          <w:szCs w:val="21"/>
          <w:lang w:eastAsia="zh-CN"/>
        </w:rPr>
        <w:t>第二部分  释义</w:t>
      </w:r>
      <w:bookmarkEnd w:id="39"/>
      <w:bookmarkEnd w:id="4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C3B5DFD">
      <w:pPr>
        <w:spacing w:after="0" w:line="360" w:lineRule="auto"/>
        <w:ind w:firstLine="420"/>
        <w:rPr>
          <w:rFonts w:ascii="Times New Roman" w:cs="Times New Roman" w:hAnsi="Times New Roman"/>
          <w:bCs/>
          <w:szCs w:val="21"/>
          <w:lang w:eastAsia="zh-CN"/>
        </w:rPr>
      </w:pPr>
    </w:p>
    <w:p w14:paraId="4C9195E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在本基金合同中，除非文意另有所指，下列词语或简称具有如下含义：</w:t>
      </w:r>
    </w:p>
    <w:p w14:paraId="083023A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1、基金或本基金：指华夏中证卫星产业交易型开放式指数证券投资基金</w:t>
      </w:r>
    </w:p>
    <w:p w14:paraId="39D4464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2、基金管理人：指华夏基金管理有限公司</w:t>
      </w:r>
    </w:p>
    <w:p w14:paraId="1F9934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3、基金托管人：指中国建设银行股份有限公司</w:t>
      </w:r>
    </w:p>
    <w:p w14:paraId="53701A7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4、基金合同、《基金合同》或本基金合同：指《华夏中证卫星产业交易型开放式指数证券投资基金基金合同》及对本基金合同的任何有效修订和补充</w:t>
      </w:r>
    </w:p>
    <w:p w14:paraId="0EB4255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5、托管协议：指基金管理人与基金托管人就本基金签订之《华夏中证卫星产业交易型开放式指数证券投资基金托管协议》及对该托管协议的任何有效修订和补充</w:t>
      </w:r>
    </w:p>
    <w:p w14:paraId="300959D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6、招募说明书：指《华夏中证卫星产业交易型开放式指数证券投资基金招募说明书》及其更新</w:t>
      </w:r>
    </w:p>
    <w:p w14:paraId="71C861C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7、基金份额发售公告：指《华夏中证卫星产业交易型开放式指数证券投资基金基金份额发售公告》</w:t>
      </w:r>
    </w:p>
    <w:p w14:paraId="2F5BCC8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8、上市交易公告书：指《华夏中证卫星产业交易型开放式指数证券投资基金上市交易公告书》</w:t>
      </w:r>
    </w:p>
    <w:p w14:paraId="6FC1808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9、法律法规：指中国现行有效并公布实施的法律、行政法规、规范性文件、司法解释、行政规章以及其他对基金合同当事人有约束力的决定、决议、通知等</w:t>
      </w:r>
    </w:p>
    <w:p w14:paraId="6D6B9034">
      <w:pPr>
        <w:spacing w:after="0" w:line="360" w:lineRule="auto"/>
        <w:ind w:firstLine="420"/>
        <w:rPr>
          <w:rFonts w:ascii="Times New Roman" w:cs="Times New Roman" w:hAnsi="Times New Roman"/>
          <w:bCs/>
          <w:szCs w:val="21"/>
          <w:lang w:eastAsia="zh-CN"/>
        </w:rPr>
      </w:pPr>
      <w:r>
        <w:rPr>
          <w:rFonts w:ascii="Times New Roman" w:cs="Times New Roman" w:hAnsi="Times New Roman"/>
          <w:szCs w:val="21"/>
          <w:lang w:eastAsia="zh-CN"/>
        </w:rPr>
        <w:t>10、《基金法》：指《中华人民共和国证券投资基金法》及颁布机关对其不时做出的修订</w:t>
      </w:r>
    </w:p>
    <w:p w14:paraId="528815B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11、《销售办法》：指《公开募集证券投资基金销售机构监督管理办法》及颁布机关对其不时做出的修订</w:t>
      </w:r>
    </w:p>
    <w:p w14:paraId="49B542C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12、《信息披露办法》：指《公开募集证券投资基金信息披露管理办法》及颁布机关对其不时做出的修订</w:t>
      </w:r>
    </w:p>
    <w:p w14:paraId="49CFA27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13、《运作办法》：指《</w:t>
      </w:r>
      <w:r>
        <w:rPr>
          <w:rFonts w:ascii="Times New Roman" w:cs="Times New Roman" w:hAnsi="Times New Roman"/>
          <w:szCs w:val="21"/>
          <w:lang w:eastAsia="zh-CN"/>
        </w:rPr>
        <w:t>公开募集</w:t>
      </w:r>
      <w:r>
        <w:rPr>
          <w:rFonts w:ascii="Times New Roman" w:cs="Times New Roman" w:hAnsi="Times New Roman"/>
          <w:bCs/>
          <w:szCs w:val="21"/>
          <w:lang w:eastAsia="zh-CN"/>
        </w:rPr>
        <w:t>证券投资基金运作管理办法》及颁布机关对其不时做出的修订</w:t>
      </w:r>
    </w:p>
    <w:p w14:paraId="3D985E5C">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14、《流动性风险管理规定》：指中国证监会2017年8月31日颁布、同年10月1日实施的《公开募集开放式证券投资基金流动性风险管理规定》及颁布机关对其不时做出的修订</w:t>
      </w:r>
    </w:p>
    <w:p w14:paraId="1968D2EE">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15、《指数基金指引》：指中国证监会2021年1月22日颁布、同年2月1日实施的《公开募集证券投资基金运作指引第3号——指数基金指引》及颁布机关对其不时做出的修订</w:t>
      </w:r>
    </w:p>
    <w:p w14:paraId="6570B054">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16、交易型开放式</w:t>
      </w:r>
      <w:r>
        <w:rPr>
          <w:rFonts w:ascii="Times New Roman" w:cs="Times New Roman" w:hAnsi="Times New Roman" w:hint="eastAsia"/>
          <w:szCs w:val="21"/>
          <w:lang w:eastAsia="zh-CN"/>
        </w:rPr>
        <w:t>指数</w:t>
      </w:r>
      <w:r>
        <w:rPr>
          <w:rFonts w:ascii="Times New Roman" w:cs="Times New Roman" w:hAnsi="Times New Roman"/>
          <w:szCs w:val="21"/>
          <w:lang w:eastAsia="zh-CN"/>
        </w:rPr>
        <w:t>证券投资基金：指《</w:t>
      </w:r>
      <w:r>
        <w:rPr>
          <w:rFonts w:ascii="Times New Roman" w:cs="Times New Roman" w:hAnsi="Times New Roman" w:hint="eastAsia"/>
          <w:szCs w:val="21"/>
          <w:lang w:eastAsia="zh-CN"/>
        </w:rPr>
        <w:t>深圳证券交易所证券投资基金交易和申购赎回实施细则</w:t>
      </w:r>
      <w:r>
        <w:rPr>
          <w:rFonts w:ascii="Times New Roman" w:cs="Times New Roman" w:hAnsi="Times New Roman"/>
          <w:szCs w:val="21"/>
          <w:lang w:eastAsia="zh-CN"/>
        </w:rPr>
        <w:t>》定义的“交易型开放式基金”</w:t>
      </w:r>
    </w:p>
    <w:p w14:paraId="2F29656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17、联接基金：指将绝大多数基金财产投资于本基金，跟踪同一标的指数，紧密跟踪标的指数表现，追求跟踪偏离度和跟踪误差最小化，采用开放式运作方式的基金</w:t>
      </w:r>
    </w:p>
    <w:p w14:paraId="6222EC1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18、中国证监会：指中国证券监督管理委员会</w:t>
      </w:r>
    </w:p>
    <w:p w14:paraId="70C719F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19、基金合同当事人：指受基金合同约束，根据基金合同享有权利并承担义务的法律主体，包括基金管理人、基金托管人和基金份额持有人</w:t>
      </w:r>
    </w:p>
    <w:p w14:paraId="213D32F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20、个人投资者：指依据有关法律法规规定可投资于证券投资基金的自然人</w:t>
      </w:r>
    </w:p>
    <w:p w14:paraId="43D8F3C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21、机构投资者：指依法可以投资证券投资基金的、在中华人民共和国境内合法登记并存续或经有关政府部门批准设立并存续的企业法人、事业法人、社会团体或其他组织</w:t>
      </w:r>
    </w:p>
    <w:p w14:paraId="750D5FD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22、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1D23156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23、投资人、投资者：指个人投资者、机构投资者、合格境外投资者以及法律法规或中国证监会允许购买证券投资基金的其他投资人的合称</w:t>
      </w:r>
    </w:p>
    <w:p w14:paraId="65F7BBF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24、基金份额持有人：指依基金合同和招募说明书合法取得基金份额的投资人</w:t>
      </w:r>
    </w:p>
    <w:p w14:paraId="6BF4015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25、基金销售业务：指基金管理人或销售机构宣传推介基金，发售基金份额，办理基金份额的申购、赎回等业务</w:t>
      </w:r>
    </w:p>
    <w:p w14:paraId="0AE499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26、销售机构：指华夏基金管理有限公司以及符合《销售办法》和中国证监会规定的其他条件，取得基金销售业务资格并与基金管理人签订了基金销售服务协议，办理基金销售业务的机构</w:t>
      </w:r>
      <w:r>
        <w:rPr>
          <w:rFonts w:ascii="Times New Roman" w:cs="Times New Roman" w:hAnsi="Times New Roman"/>
          <w:szCs w:val="21"/>
          <w:lang w:eastAsia="zh-CN"/>
        </w:rPr>
        <w:t>，包括发售代理机构和/或申购赎回代理机构</w:t>
      </w:r>
    </w:p>
    <w:p w14:paraId="7EEB8D0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27、发售代理机构：指符合《销售办法》和中国证监会规定的其他条件，由基金管理人指定的、在募集期间代理本基金发售业务的机构</w:t>
      </w:r>
    </w:p>
    <w:p w14:paraId="2D8D3DE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28、申购赎回代理机构：指基金管理人指定的代理本基金申购、赎回业务的机构</w:t>
      </w:r>
    </w:p>
    <w:p w14:paraId="1E8D699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29、登记业务：指《中国证券登记结算有限责任公司关于交易所交易型开放式证券投资基金登记结算业务实施细则》定义的基金份额的登记、存管、结算及相关业务</w:t>
      </w:r>
    </w:p>
    <w:p w14:paraId="3217A98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30、登记机构：指办理登记业务的机构，本基金的登记机构为中国证券登记结算有限责任公司</w:t>
      </w:r>
    </w:p>
    <w:p w14:paraId="50D08A2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31、基金合同生效日：指基金募集达到法律法规规定及基金合同规定的条件，基金管理人向中国证监会办理基金备案手续完毕，并获得中国证监会书面确认的日期</w:t>
      </w:r>
    </w:p>
    <w:p w14:paraId="6B518EC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32、基金合同终止日：指基金合同规定的基金合同终止事由出现后，基金财产清算完毕，清算结果报中国证监会备案并予以公告的日期</w:t>
      </w:r>
    </w:p>
    <w:p w14:paraId="32E03FF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33、基金募集期：指自基金份额发售之日起至发售结束之日止的期间，最长不得超过3个月</w:t>
      </w:r>
    </w:p>
    <w:p w14:paraId="6003ADF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34、存续期：指基金合同生效至终止之间的不定期期限</w:t>
      </w:r>
    </w:p>
    <w:p w14:paraId="0834D90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35、工作日：指</w:t>
      </w:r>
      <w:r>
        <w:rPr>
          <w:rFonts w:ascii="Times New Roman" w:cs="Times New Roman" w:hAnsi="Times New Roman" w:hint="eastAsia"/>
          <w:bCs/>
          <w:szCs w:val="21"/>
          <w:lang w:eastAsia="zh-CN"/>
        </w:rPr>
        <w:t>上海证券交易所、</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证券交易所的正常交易日</w:t>
      </w:r>
    </w:p>
    <w:p w14:paraId="6E75EF2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36、T日：指销售机构在规定时间受理投资人申购、赎回或其他业务申请的开放日</w:t>
      </w:r>
    </w:p>
    <w:p w14:paraId="3D6390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37、T+n日：指自T日起第n个工作日(不包含T日)</w:t>
      </w:r>
    </w:p>
    <w:p w14:paraId="2FB774D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38、开放日：指为投资人办理基金份额申购、赎回或其他业务的工作日</w:t>
      </w:r>
    </w:p>
    <w:p w14:paraId="2C0B6BC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39、开放时间：指开放日基金接受申购、赎回或其他交易的时间段</w:t>
      </w:r>
    </w:p>
    <w:p w14:paraId="4D325F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40、《业务规则》：指基金管理人、</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证券交易所、中国证券登记结算有限责任公司、销售机构的相关业务规则和规定</w:t>
      </w:r>
    </w:p>
    <w:p w14:paraId="2092F3C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41、认购：指在基金募集期内，投资人根据基金合同和招募说明书的规定申请购买基金份额的行为</w:t>
      </w:r>
    </w:p>
    <w:p w14:paraId="409ECF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42、申购：指基金合同生效后，投资人根据基金合同和招募说明书的规定申请购买基金份额的行为</w:t>
      </w:r>
    </w:p>
    <w:p w14:paraId="27956E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43、赎回：指基金合同生效后，基金份额持有人按基金合同和招募说明书规定的条件要求将基金份额兑换为赎回对价的行为</w:t>
      </w:r>
    </w:p>
    <w:p w14:paraId="2AAC502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44、申购赎回清单：指由基金管理人编制的用以公告申购对价、赎回对价等信息的文件</w:t>
      </w:r>
    </w:p>
    <w:p w14:paraId="2F8CAB8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45、申购对价：指投资者申购基金份额时，按基金合同和招募说明书规定应交付的组合证券、现金替代、现金差额和/或其他对价</w:t>
      </w:r>
    </w:p>
    <w:p w14:paraId="429E654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46、赎回对价：指投资者赎回基金份额时，基金管理人按基金合同和招募说明书规定应交付给赎回人的组合证券、现金替代、现金差额和/或其他对价</w:t>
      </w:r>
    </w:p>
    <w:p w14:paraId="51A0A7A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47、组合证券：指本基金标的指数所包含的全部或部分证券</w:t>
      </w:r>
    </w:p>
    <w:p w14:paraId="1B4C1DA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48、标的指数：指中证指数有限公司</w:t>
      </w:r>
      <w:r>
        <w:rPr>
          <w:rFonts w:ascii="Times New Roman" w:cs="Times New Roman" w:hAnsi="Times New Roman" w:hint="eastAsia"/>
          <w:bCs/>
          <w:szCs w:val="21"/>
          <w:lang w:eastAsia="zh-CN"/>
        </w:rPr>
        <w:t>编制并</w:t>
      </w:r>
      <w:r>
        <w:rPr>
          <w:rFonts w:ascii="Times New Roman" w:cs="Times New Roman" w:hAnsi="Times New Roman"/>
          <w:bCs/>
          <w:szCs w:val="21"/>
          <w:lang w:eastAsia="zh-CN"/>
        </w:rPr>
        <w:t>发布的中证卫星产业指数及其未来可能发生的变更</w:t>
      </w:r>
    </w:p>
    <w:p w14:paraId="521AC97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49、现金替代：指申购、赎回过程中，投资人按基金合同和招募说明书的规定，用于替代组合证券中部分证券的一定数量的现金</w:t>
      </w:r>
    </w:p>
    <w:p w14:paraId="68B0AC3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50、最小申购、赎回单位：指基金申购份额、赎回份额的最低数量，投资者申购、赎回的基金份额应为最小申购、赎回单位的整数倍</w:t>
      </w:r>
    </w:p>
    <w:p w14:paraId="5CCC3BE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51、元：指人民币元</w:t>
      </w:r>
    </w:p>
    <w:p w14:paraId="22222EE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52、基金收益：指基金投资所得红利、股息、债券利息、买卖证券价差、银行存款利息、已实现的其他合法收入及因运用基金财产带来的成本和费用的节约</w:t>
      </w:r>
    </w:p>
    <w:p w14:paraId="146D6F8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53、基金资产总值：指基金拥有的各类有价证券、银行存款本息、基金应收款项及其他资产的价值总和</w:t>
      </w:r>
    </w:p>
    <w:p w14:paraId="455BE58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54、基金资产净值：指基金资产总值减去基金负债后的价值</w:t>
      </w:r>
    </w:p>
    <w:p w14:paraId="71807B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55、基金份额净值：指</w:t>
      </w:r>
      <w:r>
        <w:rPr>
          <w:rFonts w:ascii="Times New Roman" w:cs="Times New Roman" w:hAnsi="Times New Roman" w:hint="eastAsia"/>
          <w:bCs/>
          <w:szCs w:val="21"/>
          <w:lang w:eastAsia="zh-CN"/>
        </w:rPr>
        <w:t>估值</w:t>
      </w:r>
      <w:r>
        <w:rPr>
          <w:rFonts w:ascii="Times New Roman" w:cs="Times New Roman" w:hAnsi="Times New Roman"/>
          <w:bCs/>
          <w:szCs w:val="21"/>
          <w:lang w:eastAsia="zh-CN"/>
        </w:rPr>
        <w:t>日基金资产净值除以</w:t>
      </w:r>
      <w:r>
        <w:rPr>
          <w:rFonts w:ascii="Times New Roman" w:cs="Times New Roman" w:hAnsi="Times New Roman" w:hint="eastAsia"/>
          <w:bCs/>
          <w:szCs w:val="21"/>
          <w:lang w:eastAsia="zh-CN"/>
        </w:rPr>
        <w:t>估值</w:t>
      </w:r>
      <w:r>
        <w:rPr>
          <w:rFonts w:ascii="Times New Roman" w:cs="Times New Roman" w:hAnsi="Times New Roman"/>
          <w:bCs/>
          <w:szCs w:val="21"/>
          <w:lang w:eastAsia="zh-CN"/>
        </w:rPr>
        <w:t>日基金份额总数</w:t>
      </w:r>
    </w:p>
    <w:p w14:paraId="691A3D9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56、基金资产估值：指计算评估基金资产和负债的价值，以确定基金资产净值和基金份额净值的过程</w:t>
      </w:r>
    </w:p>
    <w:p w14:paraId="2EB8B24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57、规定媒介：指符合中国证监会规定条件的用以进行信息披露的全国性报刊及《信息披露办法》规定的互联网网站（包括基金管理人网站、基金托管人网站、中国证监会基金电子披露网站）等媒介</w:t>
      </w:r>
    </w:p>
    <w:p w14:paraId="7E9C1605">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58、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4505C1E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59、不可抗力：指本基金合同当事人不能预见、不能避免且不能克服的客观事件</w:t>
      </w:r>
    </w:p>
    <w:p w14:paraId="08ED10D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60、转融通证券出借业务：指基金以一定的费率通过证券交易所综合业务平台向中国证券金融股份有限公司（以下简称证券金融公司）出借证券，证券金融公司到期归还所借证券及相应权益补偿并支付费用的业务</w:t>
      </w:r>
    </w:p>
    <w:p w14:paraId="09ABD1F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61、基金产品资料概要：指《华夏中证卫星产业交易型开放式指数证券投资基金基金产品资料概要》及其更新</w:t>
      </w:r>
    </w:p>
    <w:p w14:paraId="1FA38E2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62</w:t>
      </w:r>
      <w:r>
        <w:rPr>
          <w:rFonts w:ascii="Times New Roman" w:cs="Times New Roman" w:hAnsi="Times New Roman" w:hint="eastAsia"/>
          <w:bCs/>
          <w:szCs w:val="21"/>
          <w:lang w:eastAsia="zh-CN"/>
        </w:rPr>
        <w:t>、银行业监督管理机构：指中国人民银行和/或国家金融监督管理总局</w:t>
      </w:r>
    </w:p>
    <w:p w14:paraId="6090832B">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End w:id="64"/>
      <w:bookmarkStart w:id="65" w:name="_Toc6683"/>
      <w:bookmarkStart w:id="66" w:name="_Toc18631"/>
      <w:bookmarkStart w:id="67" w:name="_Toc11159926"/>
      <w:bookmarkStart w:id="68" w:name="_Toc545"/>
      <w:bookmarkStart w:id="69" w:name="_Toc13288"/>
      <w:bookmarkStart w:id="70" w:name="_Toc733"/>
      <w:bookmarkStart w:id="71" w:name="_Toc24571"/>
      <w:bookmarkStart w:id="72" w:name="_Toc6149"/>
      <w:bookmarkStart w:id="73" w:name="_Toc57364972"/>
      <w:bookmarkStart w:id="74" w:name="_Toc20627"/>
      <w:bookmarkStart w:id="75" w:name="_Toc100246518"/>
      <w:bookmarkStart w:id="76" w:name="_Toc22708"/>
      <w:bookmarkStart w:id="77" w:name="_Toc14078721"/>
      <w:bookmarkStart w:id="78" w:name="_Toc20318"/>
      <w:bookmarkStart w:id="79" w:name="_Toc5246"/>
      <w:bookmarkStart w:id="80" w:name="_Toc233456272"/>
      <w:bookmarkStart w:id="81" w:name="_Toc258829400"/>
      <w:r>
        <w:rPr>
          <w:rFonts w:ascii="Times New Roman" w:cs="Times New Roman" w:hAnsi="Times New Roman"/>
          <w:color w:val="auto"/>
          <w:sz w:val="21"/>
          <w:szCs w:val="21"/>
          <w:lang w:eastAsia="zh-CN"/>
        </w:rPr>
        <w:t>第三部分  基金的基本情况</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Start w:id="82" w:name="_Toc79392573"/>
    </w:p>
    <w:p w14:paraId="2304FA24">
      <w:pPr>
        <w:spacing w:after="0" w:line="360" w:lineRule="auto"/>
        <w:ind w:firstLine="540"/>
        <w:rPr>
          <w:rFonts w:ascii="Times New Roman" w:cs="Times New Roman" w:hAnsi="Times New Roman"/>
          <w:bCs/>
          <w:szCs w:val="21"/>
          <w:lang w:eastAsia="zh-CN"/>
        </w:rPr>
      </w:pPr>
      <w:bookmarkStart w:id="83" w:name="_Hlt88031741"/>
      <w:bookmarkEnd w:id="83"/>
      <w:bookmarkStart w:id="84" w:name="_Hlt88031774"/>
      <w:bookmarkEnd w:id="84"/>
    </w:p>
    <w:p w14:paraId="10FCF1A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一、基金名称</w:t>
      </w:r>
      <w:bookmarkEnd w:id="82"/>
    </w:p>
    <w:p w14:paraId="52D02EF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华夏中证卫星产业交易型开放式指数证券投资基金</w:t>
      </w:r>
    </w:p>
    <w:p w14:paraId="17A6D7FB">
      <w:pPr>
        <w:spacing w:after="0" w:line="360" w:lineRule="auto"/>
        <w:ind w:firstLine="420"/>
        <w:rPr>
          <w:rFonts w:ascii="Times New Roman" w:cs="Times New Roman" w:hAnsi="Times New Roman"/>
          <w:bCs/>
          <w:szCs w:val="21"/>
          <w:lang w:eastAsia="zh-CN"/>
        </w:rPr>
      </w:pPr>
      <w:bookmarkStart w:id="85" w:name="_Toc79392574"/>
      <w:r>
        <w:rPr>
          <w:rFonts w:ascii="Times New Roman" w:cs="Times New Roman" w:hAnsi="Times New Roman"/>
          <w:bCs/>
          <w:szCs w:val="21"/>
          <w:lang w:eastAsia="zh-CN"/>
        </w:rPr>
        <w:t>二、基金的类别</w:t>
      </w:r>
      <w:bookmarkEnd w:id="85"/>
    </w:p>
    <w:p w14:paraId="76B883A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股票型证券投资基金</w:t>
      </w:r>
    </w:p>
    <w:p w14:paraId="1F9EDAAF">
      <w:pPr>
        <w:spacing w:after="0" w:line="360" w:lineRule="auto"/>
        <w:ind w:firstLine="420"/>
        <w:rPr>
          <w:rFonts w:ascii="Times New Roman" w:cs="Times New Roman" w:hAnsi="Times New Roman"/>
          <w:bCs/>
          <w:szCs w:val="21"/>
          <w:lang w:eastAsia="zh-CN"/>
        </w:rPr>
      </w:pPr>
      <w:bookmarkStart w:id="86" w:name="_Toc79392575"/>
      <w:r>
        <w:rPr>
          <w:rFonts w:ascii="Times New Roman" w:cs="Times New Roman" w:hAnsi="Times New Roman"/>
          <w:bCs/>
          <w:szCs w:val="21"/>
          <w:lang w:eastAsia="zh-CN"/>
        </w:rPr>
        <w:t>三、基金的运作方式</w:t>
      </w:r>
    </w:p>
    <w:p w14:paraId="2C3836B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交易型开放式</w:t>
      </w:r>
    </w:p>
    <w:p w14:paraId="03985E8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四、基金的投资目标</w:t>
      </w:r>
      <w:bookmarkEnd w:id="86"/>
    </w:p>
    <w:p w14:paraId="076F3C8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紧密跟踪标的指数，追求跟踪偏离度和跟踪误差最小化。本基金力争日均跟踪偏离度的绝对值不超过0.2%，年跟踪误差不超过2%。</w:t>
      </w:r>
    </w:p>
    <w:p w14:paraId="5171FEED">
      <w:pPr>
        <w:spacing w:after="0" w:line="360" w:lineRule="auto"/>
        <w:ind w:firstLine="420"/>
        <w:rPr>
          <w:rFonts w:ascii="Times New Roman" w:cs="Times New Roman" w:hAnsi="Times New Roman"/>
          <w:bCs/>
          <w:szCs w:val="21"/>
          <w:lang w:eastAsia="zh-CN"/>
        </w:rPr>
      </w:pPr>
      <w:bookmarkStart w:id="87" w:name="_Toc79392576"/>
      <w:r>
        <w:rPr>
          <w:rFonts w:ascii="Times New Roman" w:cs="Times New Roman" w:hAnsi="Times New Roman"/>
          <w:bCs/>
          <w:szCs w:val="21"/>
          <w:lang w:eastAsia="zh-CN"/>
        </w:rPr>
        <w:t>五、基金的最低募集份额总额</w:t>
      </w:r>
      <w:bookmarkEnd w:id="87"/>
    </w:p>
    <w:p w14:paraId="1D4DBBE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本基金的最低募集份额总额为2亿份。</w:t>
      </w:r>
    </w:p>
    <w:p w14:paraId="4A2ED67A">
      <w:pPr>
        <w:spacing w:after="0" w:line="360" w:lineRule="auto"/>
        <w:ind w:firstLine="420"/>
        <w:rPr>
          <w:rFonts w:ascii="Times New Roman" w:cs="Times New Roman" w:hAnsi="Times New Roman"/>
          <w:bCs/>
          <w:szCs w:val="21"/>
          <w:lang w:eastAsia="zh-CN"/>
        </w:rPr>
      </w:pPr>
      <w:bookmarkStart w:id="88" w:name="_Toc79392577"/>
      <w:r>
        <w:rPr>
          <w:rFonts w:ascii="Times New Roman" w:cs="Times New Roman" w:hAnsi="Times New Roman"/>
          <w:bCs/>
          <w:szCs w:val="21"/>
          <w:lang w:eastAsia="zh-CN"/>
        </w:rPr>
        <w:t>六、基金份额发售面值</w:t>
      </w:r>
      <w:bookmarkEnd w:id="88"/>
      <w:r>
        <w:rPr>
          <w:rFonts w:ascii="Times New Roman" w:cs="Times New Roman" w:hAnsi="Times New Roman"/>
          <w:bCs/>
          <w:szCs w:val="21"/>
          <w:lang w:eastAsia="zh-CN"/>
        </w:rPr>
        <w:t>和认购费用</w:t>
      </w:r>
    </w:p>
    <w:p w14:paraId="01E6D154">
      <w:pPr>
        <w:spacing w:after="0" w:line="360" w:lineRule="auto"/>
        <w:ind w:firstLine="480"/>
        <w:rPr>
          <w:rFonts w:ascii="Times New Roman" w:cs="Times New Roman" w:hAnsi="Times New Roman"/>
          <w:bCs/>
          <w:szCs w:val="21"/>
          <w:lang w:eastAsia="zh-CN"/>
        </w:rPr>
      </w:pPr>
      <w:r>
        <w:rPr>
          <w:rFonts w:ascii="Times New Roman" w:cs="Times New Roman" w:hAnsi="Times New Roman"/>
          <w:bCs/>
          <w:szCs w:val="21"/>
          <w:lang w:eastAsia="zh-CN"/>
        </w:rPr>
        <w:t>本基金基金份额发售面值为人民币1.00元。</w:t>
      </w:r>
    </w:p>
    <w:p w14:paraId="0EF9302D">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本基金认购费率按招募说明书的规定执行。</w:t>
      </w:r>
    </w:p>
    <w:p w14:paraId="08B9EBB8">
      <w:pPr>
        <w:spacing w:after="0" w:line="360" w:lineRule="auto"/>
        <w:ind w:firstLine="420"/>
        <w:rPr>
          <w:rFonts w:ascii="Times New Roman" w:cs="Times New Roman" w:hAnsi="Times New Roman"/>
          <w:bCs/>
          <w:szCs w:val="21"/>
          <w:lang w:eastAsia="zh-CN"/>
        </w:rPr>
      </w:pPr>
      <w:bookmarkStart w:id="89" w:name="_Toc79392578"/>
      <w:r>
        <w:rPr>
          <w:rFonts w:ascii="Times New Roman" w:cs="Times New Roman" w:hAnsi="Times New Roman"/>
          <w:bCs/>
          <w:szCs w:val="21"/>
          <w:lang w:eastAsia="zh-CN"/>
        </w:rPr>
        <w:t>七、基金存续期限</w:t>
      </w:r>
      <w:bookmarkEnd w:id="89"/>
    </w:p>
    <w:p w14:paraId="5F94B34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不定期</w:t>
      </w:r>
    </w:p>
    <w:p w14:paraId="66ADB46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八、标的指数</w:t>
      </w:r>
    </w:p>
    <w:p w14:paraId="30EED3E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本基金标的指数为中证卫星产业指数。</w:t>
      </w:r>
    </w:p>
    <w:p w14:paraId="5544CBE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九、基金份额类别</w:t>
      </w:r>
    </w:p>
    <w:p w14:paraId="4B4FBF4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不违反法律法规及不损害基金份额持有人利益的前提下，基金管理人可根据基金发展需要，为本基金增设新的份额类别。新的份额类别可设置不同的申购费、赎回费等其他条件，而无需召开基金份额持有人大会。有关基金份额类别的具体规则等相关事项届时将另行公告。</w:t>
      </w:r>
    </w:p>
    <w:p w14:paraId="4D69D684">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90" w:name="_Toc90742390"/>
      <w:bookmarkStart w:id="91" w:name="_Toc90742688"/>
      <w:bookmarkStart w:id="92" w:name="_Toc11159927"/>
      <w:bookmarkStart w:id="93" w:name="_Toc6714"/>
      <w:bookmarkStart w:id="94" w:name="_Toc57364973"/>
      <w:bookmarkStart w:id="95" w:name="_Toc27189"/>
      <w:bookmarkStart w:id="96" w:name="_Toc22074"/>
      <w:bookmarkStart w:id="97" w:name="_Toc29948"/>
      <w:bookmarkStart w:id="98" w:name="_Toc90742321"/>
      <w:bookmarkStart w:id="99" w:name="_Toc7151"/>
      <w:bookmarkStart w:id="100" w:name="_Toc100246519"/>
      <w:bookmarkStart w:id="101" w:name="_Toc27226"/>
      <w:bookmarkStart w:id="102" w:name="_Toc15203"/>
      <w:bookmarkStart w:id="103" w:name="_Toc16265"/>
      <w:bookmarkStart w:id="104" w:name="_Toc14078722"/>
      <w:bookmarkStart w:id="105" w:name="_Toc29784"/>
      <w:bookmarkStart w:id="106" w:name="_Toc3266"/>
      <w:bookmarkStart w:id="107" w:name="_Toc24682"/>
      <w:r>
        <w:rPr>
          <w:rFonts w:ascii="Times New Roman" w:cs="Times New Roman" w:hAnsi="Times New Roman"/>
          <w:color w:val="auto"/>
          <w:sz w:val="21"/>
          <w:szCs w:val="21"/>
          <w:lang w:eastAsia="zh-CN"/>
        </w:rPr>
        <w:t>第四部分  基金份额的发售</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705769FB">
      <w:pPr>
        <w:spacing w:after="0" w:line="360" w:lineRule="auto"/>
        <w:ind w:firstLine="420"/>
        <w:rPr>
          <w:rFonts w:ascii="Times New Roman" w:cs="Times New Roman" w:hAnsi="Times New Roman"/>
          <w:bCs/>
          <w:szCs w:val="21"/>
          <w:lang w:eastAsia="zh-CN"/>
        </w:rPr>
      </w:pPr>
    </w:p>
    <w:p w14:paraId="6489AED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一、基金份额的发售时间、发售方式、发售对象</w:t>
      </w:r>
    </w:p>
    <w:p w14:paraId="1104E38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1、发售时间</w:t>
      </w:r>
    </w:p>
    <w:p w14:paraId="039A0DE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自基金份额发售之日起最长不得超过3个月，具体发售时间见基金份额发售公告。</w:t>
      </w:r>
    </w:p>
    <w:p w14:paraId="48136E6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2、发售方式</w:t>
      </w:r>
    </w:p>
    <w:p w14:paraId="2C7EE3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投资者可选择网上现金认购、网下现金认购和网下股票认购3种方式认购本基金。</w:t>
      </w:r>
    </w:p>
    <w:p w14:paraId="1AEF16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网上现金认购是指投资者通过发售代理机构用</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网上系统以现金进行的认购。网下现金认购是指投资者通过基金管理人及其指定的发售代理机构以现金进行的认购。网下股票认购是指投资者通过基金管理人及其指定的发售代理机构以股票进行的认购。</w:t>
      </w:r>
    </w:p>
    <w:p w14:paraId="614B116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基金管理人可以根据具体情况调整本基金的发售方式，并在基金份额发售公告或相关公告中列明。</w:t>
      </w:r>
    </w:p>
    <w:p w14:paraId="17E7DF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销售机构对认购申请的受理并不代表该申请一定成功，而仅代表销售机构确实接收到认购申请。认购的确认以登记机构的确认结果为准。对于认购申请及认购</w:t>
      </w:r>
      <w:r>
        <w:rPr>
          <w:rFonts w:ascii="Times New Roman" w:cs="Times New Roman" w:hAnsi="Times New Roman" w:hint="eastAsia"/>
          <w:bCs/>
          <w:szCs w:val="21"/>
          <w:lang w:eastAsia="zh-CN"/>
        </w:rPr>
        <w:t>份额</w:t>
      </w:r>
      <w:r>
        <w:rPr>
          <w:rFonts w:ascii="Times New Roman" w:cs="Times New Roman" w:hAnsi="Times New Roman"/>
          <w:bCs/>
          <w:szCs w:val="21"/>
          <w:lang w:eastAsia="zh-CN"/>
        </w:rPr>
        <w:t>的确认情况，投资者应及时查询并妥善行使合法权利。</w:t>
      </w:r>
    </w:p>
    <w:p w14:paraId="35859D4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3、发售对象</w:t>
      </w:r>
    </w:p>
    <w:p w14:paraId="61F05A8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符合法律法规规定的可投资于证券投资基金的个人投资者、机构投资者、合格境外投资者以及法律法规或中国证监会允许购买证券投资基金的其他投资人。</w:t>
      </w:r>
    </w:p>
    <w:p w14:paraId="5CCDD8C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二、基金份额的认购</w:t>
      </w:r>
    </w:p>
    <w:p w14:paraId="60029ED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1、认购费用</w:t>
      </w:r>
    </w:p>
    <w:p w14:paraId="5F956A3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本基金的认购费率由基金管理人决定，并在招募说明书中列示。基金认购费用不列入基金财产。</w:t>
      </w:r>
    </w:p>
    <w:p w14:paraId="02178E7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2、募集期资金和股票的处理方式</w:t>
      </w:r>
    </w:p>
    <w:p w14:paraId="5CC1AC6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基金募集期间募集的资金应当存入专门账户，在基金募集行为结束前，任何人不得动用。募集的股票由登记机构予以冻结。</w:t>
      </w:r>
    </w:p>
    <w:p w14:paraId="0CFF82E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三、基金份额认购数额的限制</w:t>
      </w:r>
    </w:p>
    <w:p w14:paraId="414C903C">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基金管理人可以对投资者的认购数额进行限制，具体限制和处理方法请参看招募说明书或相关公告。</w:t>
      </w:r>
    </w:p>
    <w:p w14:paraId="314624DD">
      <w:pPr>
        <w:spacing w:after="0" w:line="360" w:lineRule="auto"/>
        <w:ind w:firstLine="422"/>
        <w:rPr>
          <w:rFonts w:ascii="Times New Roman" w:cs="Times New Roman" w:hAnsi="Times New Roman"/>
          <w:szCs w:val="21"/>
          <w:lang w:eastAsia="zh-CN"/>
        </w:rPr>
      </w:pPr>
      <w:r>
        <w:rPr>
          <w:rFonts w:ascii="Times New Roman" w:cs="Times New Roman" w:hAnsi="Times New Roman" w:hint="eastAsia"/>
          <w:szCs w:val="21"/>
          <w:lang w:eastAsia="zh-CN"/>
        </w:rPr>
        <w:t>四、基金认购的其他具体规定</w:t>
      </w:r>
    </w:p>
    <w:p w14:paraId="6B010EAB">
      <w:pPr>
        <w:spacing w:after="0" w:line="360" w:lineRule="auto"/>
        <w:ind w:firstLine="422"/>
        <w:rPr>
          <w:lang w:eastAsia="zh-CN"/>
        </w:rPr>
      </w:pPr>
      <w:r>
        <w:rPr>
          <w:rFonts w:ascii="Times New Roman" w:cs="Times New Roman" w:hAnsi="Times New Roman" w:hint="eastAsia"/>
          <w:szCs w:val="21"/>
          <w:lang w:eastAsia="zh-CN"/>
        </w:rPr>
        <w:t>投资人认购原则、认购时间安排、投资人认购应提交的文件和办理的手续等事项，由基金管理人根据相关法律法规以及本基金合同的规定，在招募说明书或基金份额发售公告中确定并披露。</w:t>
      </w:r>
    </w:p>
    <w:p w14:paraId="229CB4E7">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108" w:name="_Toc18526"/>
      <w:bookmarkStart w:id="109" w:name="_Toc17912"/>
      <w:bookmarkStart w:id="110" w:name="_Toc6559"/>
      <w:bookmarkStart w:id="111" w:name="_Toc57364974"/>
      <w:bookmarkStart w:id="112" w:name="_Toc4741"/>
      <w:bookmarkStart w:id="113" w:name="_Toc14893"/>
      <w:bookmarkStart w:id="114" w:name="_Toc1823"/>
      <w:bookmarkStart w:id="115" w:name="_Toc14078723"/>
      <w:bookmarkStart w:id="116" w:name="_Toc11159928"/>
      <w:bookmarkStart w:id="117" w:name="_Toc7848"/>
      <w:bookmarkStart w:id="118" w:name="_Toc21988"/>
      <w:bookmarkStart w:id="119" w:name="_Toc26986"/>
      <w:bookmarkStart w:id="120" w:name="_Toc18797"/>
      <w:bookmarkStart w:id="121" w:name="_Toc18329"/>
      <w:bookmarkStart w:id="122" w:name="_Toc139991735"/>
      <w:bookmarkStart w:id="123" w:name="_Toc141703885"/>
      <w:bookmarkStart w:id="124" w:name="_Toc100246520"/>
      <w:bookmarkStart w:id="125" w:name="_Hlk45877500"/>
      <w:r>
        <w:rPr>
          <w:rFonts w:ascii="Times New Roman" w:cs="Times New Roman" w:hAnsi="Times New Roman"/>
          <w:color w:val="auto"/>
          <w:sz w:val="21"/>
          <w:szCs w:val="21"/>
          <w:lang w:eastAsia="zh-CN"/>
        </w:rPr>
        <w:t>第五部分  基金备案</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70D4C247">
      <w:pPr>
        <w:spacing w:after="0" w:line="360" w:lineRule="auto"/>
        <w:ind w:firstLine="540"/>
        <w:rPr>
          <w:rFonts w:ascii="Times New Roman" w:cs="Times New Roman" w:hAnsi="Times New Roman"/>
          <w:bCs/>
          <w:szCs w:val="21"/>
          <w:lang w:eastAsia="zh-CN"/>
        </w:rPr>
      </w:pPr>
    </w:p>
    <w:p w14:paraId="2D2E1F1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一、基金备案的条件</w:t>
      </w:r>
    </w:p>
    <w:p w14:paraId="5D6CAF8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自基金份额发售之日起3个月内，在基金募集份额总额不少于2亿份，基金募集金额（含募集股票市值）不少于2亿元人民币且基金认购人数不少于200人的条件下，基金募集期届满或基金管理人依据法律法规及招募说明书可以决定停止基金发售，并在10日内聘请法定验资机构验资，自收到验资报告之日起10日内，向中国证监会办理基金备案手续。</w:t>
      </w:r>
    </w:p>
    <w:p w14:paraId="2D965131">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网下股票认购募集的股票按照交易所和登记机构的规则和流程办理股票的冻结与过户。</w:t>
      </w:r>
    </w:p>
    <w:p w14:paraId="7AB5906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二、基金合同不能生效时募集资金及股票的处理方式</w:t>
      </w:r>
    </w:p>
    <w:p w14:paraId="2271A3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如果募集期限届满，未满足基金备案条件，基金管理人应当承担下列责任：</w:t>
      </w:r>
    </w:p>
    <w:p w14:paraId="7CA6986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1、以其固有财产承担因募集行为而产生的债务和费用。</w:t>
      </w:r>
    </w:p>
    <w:p w14:paraId="1E31EE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2、在基金募集期限届满后30日内返还投资者已</w:t>
      </w:r>
      <w:r>
        <w:rPr>
          <w:rFonts w:ascii="Times New Roman" w:cs="Times New Roman" w:hAnsi="Times New Roman" w:hint="eastAsia"/>
          <w:bCs/>
          <w:szCs w:val="21"/>
          <w:lang w:eastAsia="zh-CN"/>
        </w:rPr>
        <w:t>缴纳</w:t>
      </w:r>
      <w:r>
        <w:rPr>
          <w:rFonts w:ascii="Times New Roman" w:cs="Times New Roman" w:hAnsi="Times New Roman"/>
          <w:bCs/>
          <w:szCs w:val="21"/>
          <w:lang w:eastAsia="zh-CN"/>
        </w:rPr>
        <w:t>的款项，并加计银行同期活期存款利息，同时将已冻结的股票解冻。基金管理人不承担相关股票冻结期间交易价格波动的责任。</w:t>
      </w:r>
    </w:p>
    <w:p w14:paraId="7C8EF6A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3、如基金募集失败，基金管理人、基金托管人及销售机构不得请求报酬。基金管理人、基金托管人和销售机构为基金募集支付之一切费用应由各方各自承担。</w:t>
      </w:r>
    </w:p>
    <w:p w14:paraId="13985A5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三、基金存续期内的基金份额持有人数量和资产规模</w:t>
      </w:r>
    </w:p>
    <w:p w14:paraId="56CEFCD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合同》生效后，连续20个工作日出现基金份额持有人数量不满200人或者基金资产净值低于5000万元情形的，基金管理人应当在定期报告中予以披露；连续60个工作日出现前述情形的，基金管理人应当10个工作日内向中国证监会报告并提出解决方案，如</w:t>
      </w:r>
      <w:r>
        <w:rPr>
          <w:rFonts w:ascii="Times New Roman" w:cs="Times New Roman" w:hAnsi="Times New Roman" w:hint="eastAsia"/>
          <w:bCs/>
          <w:szCs w:val="21"/>
          <w:lang w:eastAsia="zh-CN"/>
        </w:rPr>
        <w:t>持续运作、</w:t>
      </w:r>
      <w:r>
        <w:rPr>
          <w:rFonts w:ascii="Times New Roman" w:cs="Times New Roman" w:hAnsi="Times New Roman"/>
          <w:bCs/>
          <w:szCs w:val="21"/>
          <w:lang w:eastAsia="zh-CN"/>
        </w:rPr>
        <w:t>转换运作方式、与其他基金合并或者终止基金合同等，并6个月内召集基金份额持有人大会。</w:t>
      </w:r>
    </w:p>
    <w:p w14:paraId="5DC6D59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法律法规或中国证监会另有规定时，从其规定。</w:t>
      </w:r>
    </w:p>
    <w:p w14:paraId="2FFDDE80">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126" w:name="_Toc11159929"/>
      <w:bookmarkStart w:id="127" w:name="_Toc100246521"/>
      <w:bookmarkStart w:id="128" w:name="_Toc14078724"/>
      <w:bookmarkStart w:id="129" w:name="_Toc57364975"/>
      <w:bookmarkStart w:id="130" w:name="_Toc141703886"/>
      <w:bookmarkStart w:id="131" w:name="_Toc23261"/>
      <w:bookmarkStart w:id="132" w:name="_Toc10463"/>
      <w:bookmarkStart w:id="133" w:name="_Toc11081"/>
      <w:bookmarkStart w:id="134" w:name="_Toc139991736"/>
      <w:bookmarkStart w:id="135" w:name="_Toc1427"/>
      <w:bookmarkStart w:id="136" w:name="_Toc48649707"/>
      <w:bookmarkStart w:id="137" w:name="_Toc123102453"/>
      <w:bookmarkStart w:id="138" w:name="_Toc610"/>
      <w:bookmarkStart w:id="139" w:name="_Toc123112234"/>
      <w:bookmarkStart w:id="140" w:name="_Toc17244"/>
      <w:bookmarkStart w:id="141" w:name="_Toc23822"/>
      <w:bookmarkStart w:id="142" w:name="_Toc1270"/>
      <w:bookmarkStart w:id="143" w:name="_Toc98560352"/>
      <w:bookmarkStart w:id="144" w:name="_Toc79392606"/>
      <w:bookmarkStart w:id="145" w:name="_Toc123051452"/>
      <w:bookmarkStart w:id="146" w:name="_Toc20733"/>
      <w:bookmarkStart w:id="147" w:name="_Toc4003"/>
      <w:bookmarkStart w:id="148" w:name="_Toc7920"/>
      <w:r>
        <w:rPr>
          <w:rFonts w:ascii="Times New Roman" w:cs="Times New Roman" w:hAnsi="Times New Roman"/>
          <w:color w:val="auto"/>
          <w:sz w:val="21"/>
          <w:szCs w:val="21"/>
          <w:lang w:eastAsia="zh-CN"/>
        </w:rPr>
        <w:t>第六部分  基金份额的上市交易</w:t>
      </w:r>
      <w:bookmarkEnd w:id="126"/>
      <w:bookmarkEnd w:id="127"/>
      <w:bookmarkEnd w:id="128"/>
      <w:bookmarkEnd w:id="129"/>
    </w:p>
    <w:p w14:paraId="394D8EA5">
      <w:pPr>
        <w:spacing w:after="0"/>
        <w:rPr>
          <w:rFonts w:ascii="Times New Roman" w:cs="Times New Roman" w:hAnsi="Times New Roman"/>
          <w:szCs w:val="21"/>
          <w:lang w:eastAsia="zh-CN"/>
        </w:rPr>
      </w:pPr>
    </w:p>
    <w:p w14:paraId="6F6627F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一、基金份额的上市</w:t>
      </w:r>
    </w:p>
    <w:p w14:paraId="3D18B26F">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基金合同生效后，具备下列条件的，基金管理人可依据《深圳证券交易所证券投资基金上市规则》，向深圳证券交易所申请基金份额上市：</w:t>
      </w:r>
    </w:p>
    <w:p w14:paraId="778215A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1、基金场内资产净值不低于2亿元；</w:t>
      </w:r>
    </w:p>
    <w:p w14:paraId="54868761">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2、基金场内份额持有人不少于1000人；</w:t>
      </w:r>
    </w:p>
    <w:p w14:paraId="4804860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3、深圳证券交易所规定的其他条件。</w:t>
      </w:r>
    </w:p>
    <w:p w14:paraId="70979D8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基金份额上市前，基金管理人应与深圳证券交易所签订上市协议书。基金获准在深圳证券交易所上市的，基金管理人应按照相关规定发布基金上市交易公告书。</w:t>
      </w:r>
    </w:p>
    <w:p w14:paraId="03841B98">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二、基金份额的上市交易</w:t>
      </w:r>
    </w:p>
    <w:p w14:paraId="7E2342F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基金份额在深圳证券交易所的上市交易，应遵照《深圳证券交易所交易规则》、《深圳证券交易所证券投资基金上市规则》、《深圳证券交易所证券投资基金交易和申购赎回实施细则》等有关规定。</w:t>
      </w:r>
    </w:p>
    <w:p w14:paraId="29CC4EFA">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 xml:space="preserve">三、停牌、复牌及终止上市交易 </w:t>
      </w:r>
    </w:p>
    <w:p w14:paraId="1DFE997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份额在深圳证券交易所的停牌、复牌及终止上市交易，应遵照《深圳证券交易所交易规则》、《深圳证券交易所证券投资基金上市规则》、《深圳证券交易所证券投资基金交易和申购赎回实施细则》等有关规定。</w:t>
      </w:r>
    </w:p>
    <w:p w14:paraId="4B5289D4">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当本基金发生深圳证券交易所相关规则所规定的不再具备上市条件而应当终止上市的情形时，本基金将由交易型开放式基金变更为跟踪标的指数的非上市的开放式基金，而无需召开基金份额持有人大会，若届时本基金管理人已有以该指数作为标的指数的指数基金，则基金管理人将本着维护基金份额持有人合法权益的原则，将本基金与该指数基金合并而无需召开基金份额持有人大会，或在履行适当的程序后选取其他合适的指数作为标的指数。</w:t>
      </w:r>
    </w:p>
    <w:p w14:paraId="387E5FCF">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四、基金份额参考净值的计算与公告</w:t>
      </w:r>
    </w:p>
    <w:p w14:paraId="632E613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管理人在每一个交易日开市前向深圳证券交易所提供当日的申购赎回清单。本基金基金份额参考净值（IOPV）由基金管理人或基金管理人委托的机构计算，并交由深圳证券交易所发布，供投资者交易、申购、赎回基金份额时参考。</w:t>
      </w:r>
    </w:p>
    <w:p w14:paraId="05544CB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基金份额参考净值的具体计算方法参见招募说明书。</w:t>
      </w:r>
    </w:p>
    <w:p w14:paraId="0E105BE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深圳证券交易所和基金管理人可以调整基金份额参考净值计算公式，并予以公告。</w:t>
      </w:r>
    </w:p>
    <w:p w14:paraId="24A38391">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五、相关法律法规、中国证监会及深圳证券交易所对基金上市交易的规则等相关规定内容进行调整的，本基金合同相应予以修改，并按照新规定执行，且此项修改无须召开基金份额持有人大会。</w:t>
      </w:r>
    </w:p>
    <w:p w14:paraId="2FFB1DC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六、若深圳证券交易所、中国证券登记结算有限责任公司增加了基金上市交易的新功能，基金管理人可以在履行适当的程序后增加相应功能，无需召开基金份额持有人大会。</w:t>
      </w:r>
    </w:p>
    <w:p w14:paraId="4FB3304A">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七、法律法规、监管部门或深圳证券交易所对上市交易另有规定的，从其规定。</w:t>
      </w:r>
    </w:p>
    <w:p w14:paraId="28507986">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149" w:name="_Toc57364976"/>
      <w:r>
        <w:rPr>
          <w:rFonts w:ascii="Times New Roman" w:cs="Times New Roman" w:hAnsi="Times New Roman"/>
          <w:color w:val="auto"/>
          <w:sz w:val="21"/>
          <w:szCs w:val="21"/>
          <w:lang w:eastAsia="zh-CN"/>
        </w:rPr>
        <w:t>第七部分  基金份额的申购与赎回</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3252E013">
      <w:pPr>
        <w:spacing w:after="0"/>
        <w:rPr>
          <w:rFonts w:ascii="Times New Roman" w:cs="Times New Roman" w:hAnsi="Times New Roman"/>
          <w:szCs w:val="21"/>
          <w:lang w:eastAsia="zh-CN"/>
        </w:rPr>
      </w:pPr>
    </w:p>
    <w:p w14:paraId="306AFCF0">
      <w:pPr>
        <w:spacing w:after="0" w:line="360" w:lineRule="auto"/>
        <w:ind w:firstLine="420"/>
        <w:rPr>
          <w:rFonts w:ascii="Times New Roman" w:cs="Times New Roman" w:hAnsi="Times New Roman"/>
          <w:bCs/>
          <w:szCs w:val="21"/>
          <w:lang w:eastAsia="zh-CN"/>
        </w:rPr>
      </w:pPr>
      <w:bookmarkStart w:id="150" w:name="_Toc14078725"/>
      <w:r>
        <w:rPr>
          <w:rFonts w:ascii="Times New Roman" w:cs="Times New Roman" w:hAnsi="Times New Roman"/>
          <w:bCs/>
          <w:szCs w:val="21"/>
          <w:lang w:eastAsia="zh-CN"/>
        </w:rPr>
        <w:t>一、申购和赎回场所</w:t>
      </w:r>
    </w:p>
    <w:p w14:paraId="13765A55">
      <w:pPr>
        <w:spacing w:line="360" w:lineRule="auto"/>
        <w:ind w:firstLine="420" w:firstLineChars="200"/>
        <w:rPr>
          <w:rFonts w:hAnsi="宋体" w:hint="eastAsia"/>
          <w:bCs/>
          <w:szCs w:val="21"/>
          <w:lang w:eastAsia="zh-CN"/>
        </w:rPr>
      </w:pPr>
      <w:r>
        <w:rPr>
          <w:rFonts w:hAnsi="宋体" w:hint="eastAsia"/>
          <w:bCs/>
          <w:szCs w:val="21"/>
          <w:lang w:eastAsia="zh-CN"/>
        </w:rPr>
        <w:t>投资者应当在申购赎回代理机构办理基金申购、赎回业务的营业场所或按申购赎回代理机构提供的其他方式办理基金份额的申购和赎回。</w:t>
      </w:r>
    </w:p>
    <w:p w14:paraId="3E742BDF">
      <w:pPr>
        <w:spacing w:line="360" w:lineRule="auto"/>
        <w:ind w:firstLine="420" w:firstLineChars="200"/>
        <w:rPr>
          <w:bCs/>
          <w:szCs w:val="21"/>
          <w:lang w:eastAsia="zh-CN"/>
        </w:rPr>
      </w:pPr>
      <w:r>
        <w:rPr>
          <w:rFonts w:hAnsi="宋体" w:hint="eastAsia"/>
          <w:bCs/>
          <w:szCs w:val="21"/>
          <w:lang w:eastAsia="zh-CN"/>
        </w:rPr>
        <w:t>基金管理人将在开放申购、赎回业务之前公示申购赎回代理机构的名单。基金管理人可根据情况变更或增减申购赎回代理机构，并在基金管理人网站公示。</w:t>
      </w:r>
    </w:p>
    <w:p w14:paraId="09C3DE4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二、申购和赎回的开放日及时间</w:t>
      </w:r>
    </w:p>
    <w:p w14:paraId="3A343D7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1、开放日及开放时间</w:t>
      </w:r>
    </w:p>
    <w:p w14:paraId="0125C922">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投资人在开放日办理基金份额的申购和赎回，具体办理时间为</w:t>
      </w:r>
      <w:r>
        <w:rPr>
          <w:rFonts w:ascii="Times New Roman" w:cs="Times New Roman" w:hAnsi="Times New Roman" w:hint="eastAsia"/>
          <w:bCs/>
          <w:szCs w:val="21"/>
          <w:lang w:eastAsia="zh-CN"/>
        </w:rPr>
        <w:t>上海证券交易所、深圳</w:t>
      </w:r>
      <w:r>
        <w:rPr>
          <w:rFonts w:ascii="Times New Roman" w:cs="Times New Roman" w:hAnsi="Times New Roman"/>
          <w:bCs/>
          <w:szCs w:val="21"/>
          <w:lang w:eastAsia="zh-CN"/>
        </w:rPr>
        <w:t>证券交易所的正常交易日的交易时间，但基金管理人根据法律法规、中国证监会的要求或基金合同的规定公告暂停申购、赎回时除外。</w:t>
      </w:r>
    </w:p>
    <w:p w14:paraId="21A1CFDB">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基金合同生效后，若出现新的证券/期货交易市场、证券/期货交易所交易时间变更或实际情况需要，基金管理人有权视情况对前述开放日及开放时间进行相应的调整，但应在实施日前依照《信息披露办法》的有关规定在规定媒介上公告。</w:t>
      </w:r>
    </w:p>
    <w:p w14:paraId="57AFC85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2、申购、赎回开始日及业务办理时间</w:t>
      </w:r>
    </w:p>
    <w:p w14:paraId="0DA6B241">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基金管理人自基金合同生效之日起不超过3个月开始办理申购，具体业务办理时间在申购开始公告中规定。</w:t>
      </w:r>
    </w:p>
    <w:p w14:paraId="4F111937">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基金管理人自基金合同生效之日起不超过3个月开始办理赎回，具体业务办理时间在赎回开始公告中规定。</w:t>
      </w:r>
    </w:p>
    <w:p w14:paraId="5E013642">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本基金可在基金上市交易之前开始办理申购、赎回，但在基金申请上市期间，可暂停办理申购、赎回；具体申购、赎回业务办理时间在申购、赎回开始公告中规定。</w:t>
      </w:r>
    </w:p>
    <w:p w14:paraId="6F8B75AA">
      <w:pPr>
        <w:spacing w:after="0" w:line="360" w:lineRule="auto"/>
        <w:ind w:firstLine="420"/>
        <w:jc w:val="left"/>
        <w:rPr>
          <w:rFonts w:ascii="Times New Roman" w:cs="Times New Roman" w:hAnsi="Times New Roman"/>
          <w:bCs/>
          <w:szCs w:val="21"/>
          <w:lang w:eastAsia="zh-CN"/>
        </w:rPr>
      </w:pPr>
      <w:r>
        <w:rPr>
          <w:rFonts w:ascii="Times New Roman" w:cs="Times New Roman" w:hAnsi="Times New Roman"/>
          <w:bCs/>
          <w:szCs w:val="21"/>
          <w:lang w:eastAsia="zh-CN"/>
        </w:rPr>
        <w:t>在确定申购开始与赎回开始时间后，基金管理人应在申购、赎回开放日前依照《信息披露办法》的有关规定在规定媒介上公告申购与赎回的开始时间。</w:t>
      </w:r>
    </w:p>
    <w:p w14:paraId="542DE5F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三、申购与赎回的原则</w:t>
      </w:r>
    </w:p>
    <w:p w14:paraId="7FDCA55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1、基金采用“份额申购、份额赎回”原则，即申购、赎回均以份额申请。</w:t>
      </w:r>
    </w:p>
    <w:p w14:paraId="4EBF448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2、基金的申购对价、赎回对价包括组合证券、现金替代、现金差额和/或其他对价。</w:t>
      </w:r>
    </w:p>
    <w:p w14:paraId="1AB403A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3、申购、赎回申请提交后不得撤销。</w:t>
      </w:r>
    </w:p>
    <w:p w14:paraId="06FDAC2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4、申购、赎回应遵守《业务规则》及其他相关规定。</w:t>
      </w:r>
    </w:p>
    <w:p w14:paraId="4CC2701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w:t>
      </w:r>
      <w:r>
        <w:rPr>
          <w:rFonts w:ascii="Times New Roman" w:cs="Times New Roman" w:hAnsi="Times New Roman"/>
          <w:b/>
          <w:bCs/>
          <w:szCs w:val="21"/>
          <w:lang w:eastAsia="zh-CN"/>
        </w:rPr>
        <w:t>基金管理人可在不违反法律法规</w:t>
      </w:r>
      <w:r>
        <w:rPr>
          <w:rFonts w:ascii="Times New Roman" w:cs="Times New Roman" w:hAnsi="Times New Roman" w:hint="eastAsia"/>
          <w:b/>
          <w:bCs/>
          <w:szCs w:val="21"/>
          <w:lang w:eastAsia="zh-CN"/>
        </w:rPr>
        <w:t>且对基金份额持有人利益无实质性不利影响</w:t>
      </w:r>
      <w:r>
        <w:rPr>
          <w:rFonts w:ascii="Times New Roman" w:cs="Times New Roman" w:hAnsi="Times New Roman"/>
          <w:b/>
          <w:bCs/>
          <w:szCs w:val="21"/>
          <w:lang w:eastAsia="zh-CN"/>
        </w:rPr>
        <w:t>的情况下，对上述原则进行调整</w:t>
      </w:r>
      <w:r>
        <w:rPr>
          <w:rFonts w:hint="eastAsia"/>
          <w:b/>
          <w:bCs/>
          <w:szCs w:val="21"/>
          <w:lang w:eastAsia="zh-CN"/>
        </w:rPr>
        <w:t>，或依据深圳证券交易所、登记机构相关规则及其变更调整上述原则</w:t>
      </w:r>
      <w:r>
        <w:rPr>
          <w:rFonts w:ascii="Times New Roman" w:cs="Times New Roman" w:hAnsi="Times New Roman"/>
          <w:b/>
          <w:bCs/>
          <w:szCs w:val="21"/>
          <w:lang w:eastAsia="zh-CN"/>
        </w:rPr>
        <w:t>。基金管理人必须在新规则开始实施前依照《信息披露办法》的有关规定在规定媒介上公告</w:t>
      </w:r>
      <w:r>
        <w:rPr>
          <w:rFonts w:ascii="Times New Roman" w:cs="Times New Roman" w:hAnsi="Times New Roman" w:hint="eastAsia"/>
          <w:b/>
          <w:bCs/>
          <w:szCs w:val="21"/>
          <w:lang w:eastAsia="zh-CN"/>
        </w:rPr>
        <w:t>。</w:t>
      </w:r>
    </w:p>
    <w:p w14:paraId="5A53225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四、申购与赎回的程序</w:t>
      </w:r>
    </w:p>
    <w:p w14:paraId="4258FA0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1、申购和赎回的申请方式</w:t>
      </w:r>
    </w:p>
    <w:p w14:paraId="6A7C04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投资人必须根据销售机构规定的程序，在开放日的具体业务办理时间内提出申购或赎回的申请。</w:t>
      </w:r>
    </w:p>
    <w:p w14:paraId="32C4AFC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投资人申购基金份额时，必须根据相应的申购赎回清单备足申购对价。基金份额持有人在提交赎回申请时，必须持有足够的基金份额余额和现金。</w:t>
      </w:r>
    </w:p>
    <w:p w14:paraId="3E98885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2、申购和赎回申请的确认</w:t>
      </w:r>
    </w:p>
    <w:p w14:paraId="7CB32EA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投资者申购、赎回申请在受理当日进行确认。如投资者未能提供符合要求的申购对价，则申购申请失败。如投资者持有的符合要求的基金份额不足或未能根据要求准备足额的现金，或本基金投资组合内不具备足额的符合要求的赎回对价，则赎回申请失败。申购赎回代理机构对申购、赎回申请的受理并不代表该申请一定成功，而仅代表申购赎回代理机构确实接收到该申请。申购、赎回的确认以登记机构的确认结果为准。对于申购、赎回申请的确认情况，投资人应及时查询并妥善行使合法权利。投资者可通过其办理申购、赎回业务的销售机构或者销售机构规定的其他方式查询确认情况。</w:t>
      </w:r>
    </w:p>
    <w:p w14:paraId="011257C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3、申购和赎回的清算交收与登记</w:t>
      </w:r>
    </w:p>
    <w:p w14:paraId="37BD1D8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申购赎回过程中涉及的基金份额、组合证券、现金替代、现金差额及其他对价的清算交收适用中国证券登记结算有限责任公司及相关证券交易所最新的规则和参与各方相关协议的有关规定。本基金的申购与赎回的清算交收与登记具体规则请参见本基金招募说明书。</w:t>
      </w:r>
    </w:p>
    <w:p w14:paraId="6D2236B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如果登记机构和基金管理人在清算交收时发现不能正常履约的情形，则依据中国证券登记结算有限责任公司及相关证券交易所最新的规则和参与各方相关协议的有关规定进行处理。</w:t>
      </w:r>
    </w:p>
    <w:p w14:paraId="5499965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w:t>
      </w:r>
      <w:r>
        <w:rPr>
          <w:rFonts w:ascii="Times New Roman" w:cs="Times New Roman" w:hAnsi="Times New Roman" w:hint="eastAsia"/>
          <w:bCs/>
          <w:szCs w:val="21"/>
          <w:lang w:eastAsia="zh-CN"/>
        </w:rPr>
        <w:t>深圳</w:t>
      </w:r>
      <w:r>
        <w:rPr>
          <w:rFonts w:ascii="Times New Roman" w:cs="Times New Roman" w:hAnsi="Times New Roman"/>
          <w:bCs/>
          <w:szCs w:val="21"/>
          <w:lang w:eastAsia="zh-CN"/>
        </w:rPr>
        <w:t>证券交易所、登记机构可在法律法规允许的范围内，对上述申购赎回的程序以及清算交收和登记的办理时间、方式、处理规则等进行调整，并在至少一种规定媒介或招募说明书更新中公告。</w:t>
      </w:r>
    </w:p>
    <w:p w14:paraId="2328963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五、申购和赎回的数额限制</w:t>
      </w:r>
    </w:p>
    <w:p w14:paraId="671882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1、投资者申购、赎回的基金份额需为基金最小申购、赎回单位的整数倍。最小申购、赎回单位由基金管理人综合考虑对投资组合跟踪误差的影响以及市场需求等因素确定，并在招募说明书或其他公告中列明。</w:t>
      </w:r>
    </w:p>
    <w:p w14:paraId="325F71E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基金管理人可根据基金运作情况、市场变化以及投资者需求等因素对基金的最小申购、赎回单位进行调整并提前公告。</w:t>
      </w:r>
    </w:p>
    <w:p w14:paraId="12A18CED">
      <w:pPr>
        <w:spacing w:after="0" w:line="360" w:lineRule="auto"/>
        <w:ind w:firstLine="420"/>
        <w:rPr>
          <w:rFonts w:ascii="Times New Roman" w:cs="Times New Roman" w:hAnsi="Times New Roman"/>
          <w:szCs w:val="21"/>
          <w:lang w:eastAsia="zh-CN"/>
        </w:rPr>
      </w:pPr>
      <w:r>
        <w:rPr>
          <w:rFonts w:ascii="Times New Roman" w:cs="Times New Roman" w:hAnsi="Times New Roman"/>
          <w:bCs/>
          <w:szCs w:val="21"/>
          <w:lang w:eastAsia="zh-CN"/>
        </w:rPr>
        <w:t>2</w:t>
      </w:r>
      <w:r>
        <w:rPr>
          <w:rFonts w:ascii="Times New Roman" w:cs="Times New Roman" w:hAnsi="Times New Roman"/>
          <w:szCs w:val="21"/>
          <w:lang w:eastAsia="zh-CN"/>
        </w:rPr>
        <w:t>、</w:t>
      </w:r>
      <w:r>
        <w:rPr>
          <w:rFonts w:ascii="Times New Roman" w:cs="Times New Roman" w:hAnsi="Times New Roman" w:hint="eastAsia"/>
          <w:szCs w:val="21"/>
          <w:lang w:eastAsia="zh-CN"/>
        </w:rPr>
        <w:t>基金管理人可以规定本基金的总规模上限、本基金单日申购份额或净申购比例上限，具体规定请参见招募说明书或相关公告。</w:t>
      </w:r>
    </w:p>
    <w:p w14:paraId="5AA82A0D">
      <w:pPr>
        <w:spacing w:after="0" w:line="360" w:lineRule="auto"/>
        <w:ind w:firstLine="420"/>
        <w:rPr>
          <w:rFonts w:ascii="Times New Roman" w:cs="Times New Roman" w:hAnsi="Times New Roman"/>
          <w:szCs w:val="21"/>
          <w:lang w:eastAsia="zh-CN"/>
        </w:rPr>
      </w:pPr>
      <w:r>
        <w:rPr>
          <w:rFonts w:ascii="Times New Roman" w:cs="Times New Roman" w:hAnsi="Times New Roman"/>
          <w:bCs/>
          <w:szCs w:val="21"/>
          <w:lang w:eastAsia="zh-CN"/>
        </w:rPr>
        <w:t>3、</w:t>
      </w:r>
      <w:r>
        <w:rPr>
          <w:rFonts w:ascii="Times New Roman" w:cs="Times New Roman" w:hAnsi="Times New Roman" w:hint="eastAsia"/>
          <w:szCs w:val="21"/>
          <w:lang w:eastAsia="zh-CN"/>
        </w:rPr>
        <w:t>基金管理人可以规定单个投资人累计持有的基金份额上限、单日或单笔申购份额上限和净申购比例上限，具体规定请参见招募说明书或相关公告。</w:t>
      </w:r>
    </w:p>
    <w:p w14:paraId="006219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w:t>
      </w:r>
      <w:r>
        <w:rPr>
          <w:rFonts w:ascii="Times New Roman" w:cs="Times New Roman" w:hAnsi="Times New Roman" w:hint="eastAsia"/>
          <w:bCs/>
          <w:szCs w:val="21"/>
          <w:lang w:eastAsia="zh-CN"/>
        </w:rPr>
        <w:t>基金管理人可根据市场情况在申购赎回清单中设置赎回份额上限，具体规定请参见招募说明书或相关公告。</w:t>
      </w:r>
    </w:p>
    <w:p w14:paraId="4E70897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w:t>
      </w:r>
      <w:r>
        <w:rPr>
          <w:rFonts w:ascii="Times New Roman" w:cs="Times New Roman" w:hAnsi="Times New Roman"/>
          <w:szCs w:val="21"/>
          <w:lang w:eastAsia="zh-CN"/>
        </w:rPr>
        <w:t>当接受申购申请对存量基金份额持有人利益构成潜在重大不利影响时，基金管理人应当采取设定单一投资者申购数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4E57724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6、基金管理人可在法律法规允许的情况下，调整上述规定申购和赎回的数额限制。基金管理人必须在调整前依照《信息披露办法》的有关规定在规定媒介上公告。</w:t>
      </w:r>
    </w:p>
    <w:p w14:paraId="0BC8DF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六、申购和赎回的对价、费用及其用途</w:t>
      </w:r>
    </w:p>
    <w:p w14:paraId="343E573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1、本基金份额净值的计算，保留到小数点后</w:t>
      </w:r>
      <w:r>
        <w:rPr>
          <w:rFonts w:ascii="Times New Roman" w:cs="Times New Roman" w:hAnsi="Times New Roman"/>
          <w:szCs w:val="21"/>
          <w:lang w:eastAsia="zh-CN"/>
        </w:rPr>
        <w:t>4位</w:t>
      </w:r>
      <w:r>
        <w:rPr>
          <w:rFonts w:ascii="Times New Roman" w:cs="Times New Roman" w:hAnsi="Times New Roman"/>
          <w:bCs/>
          <w:szCs w:val="21"/>
          <w:lang w:eastAsia="zh-CN"/>
        </w:rPr>
        <w:t>，小数点后</w:t>
      </w:r>
      <w:r>
        <w:rPr>
          <w:rFonts w:ascii="Times New Roman" w:cs="Times New Roman" w:hAnsi="Times New Roman"/>
          <w:szCs w:val="21"/>
          <w:lang w:eastAsia="zh-CN"/>
        </w:rPr>
        <w:t>第5位</w:t>
      </w:r>
      <w:r>
        <w:rPr>
          <w:rFonts w:ascii="Times New Roman" w:cs="Times New Roman" w:hAnsi="Times New Roman"/>
          <w:bCs/>
          <w:szCs w:val="21"/>
          <w:lang w:eastAsia="zh-CN"/>
        </w:rPr>
        <w:t>四舍五入，由此产生的收益或损失由基金财产承担。T日的基金份额净值在当天收市后计算，并在</w:t>
      </w:r>
      <w:r>
        <w:rPr>
          <w:rFonts w:ascii="Times New Roman" w:cs="Times New Roman" w:hAnsi="Times New Roman"/>
          <w:szCs w:val="21"/>
          <w:lang w:eastAsia="zh-CN"/>
        </w:rPr>
        <w:t>T+1日</w:t>
      </w:r>
      <w:r>
        <w:rPr>
          <w:rFonts w:ascii="Times New Roman" w:cs="Times New Roman" w:hAnsi="Times New Roman"/>
          <w:bCs/>
          <w:szCs w:val="21"/>
          <w:lang w:eastAsia="zh-CN"/>
        </w:rPr>
        <w:t>内公告。遇特殊情况，</w:t>
      </w:r>
      <w:r>
        <w:rPr>
          <w:rFonts w:ascii="Times New Roman" w:cs="Times New Roman" w:hAnsi="Times New Roman"/>
          <w:szCs w:val="21"/>
          <w:lang w:eastAsia="zh-CN"/>
        </w:rPr>
        <w:t>经履行适当程序</w:t>
      </w:r>
      <w:r>
        <w:rPr>
          <w:rFonts w:ascii="Times New Roman" w:cs="Times New Roman" w:hAnsi="Times New Roman"/>
          <w:bCs/>
          <w:szCs w:val="21"/>
          <w:lang w:eastAsia="zh-CN"/>
        </w:rPr>
        <w:t>，可以适当延迟计算或公告。</w:t>
      </w:r>
    </w:p>
    <w:p w14:paraId="56A3FAF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2、申购、赎回对价及费用</w:t>
      </w:r>
    </w:p>
    <w:p w14:paraId="6BDEF15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申购对价是指投资者申购基金份额时应交付的组合证券、现金替代、现金差额和/或其他对价。赎回对价是指基金份额持有人赎回基金份额时，基金管理人应交付的组合证券、现金替代、现金差额和/或其他对价。申购对价、赎回对价根据申购赎回清单和投资者申购、赎回的基金份额数额确定。</w:t>
      </w:r>
    </w:p>
    <w:p w14:paraId="62DCEE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（2）T日的申购赎回清单在当日</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证券交易所开市前公告。未来，若市场情况发生变化，或相关业务规则发生变化，基金管理人可以在不违反相关法律法规的情况下对申购赎回清单计算和公告时间进行调整并提前公告。</w:t>
      </w:r>
    </w:p>
    <w:p w14:paraId="50A5F83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（3）投资者在申购或赎回基金份额时，申购赎回代理机构可按照一定的标准收取佣金，其中包含证券交易所、登记机构等收取的相关费用。</w:t>
      </w:r>
    </w:p>
    <w:p w14:paraId="0A2F268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七、拒绝或暂停申购的情形</w:t>
      </w:r>
    </w:p>
    <w:p w14:paraId="4DE4C6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发生下列情况时，基金管理人可拒绝或暂停接受投资人的申购申请：</w:t>
      </w:r>
    </w:p>
    <w:p w14:paraId="5CAF73E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1、因不可抗力导致基金无法正常运作。</w:t>
      </w:r>
    </w:p>
    <w:p w14:paraId="51FEDCB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2、发生基金合同规定的暂停基金资产估值情况时，基金管理人可暂停接受投资人的申购申请。</w:t>
      </w:r>
    </w:p>
    <w:p w14:paraId="3965D98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3、证券/期货交易所交易时间非正常停市，导致基金管理人无法计算当日基金资产净值。</w:t>
      </w:r>
    </w:p>
    <w:p w14:paraId="1356FEB7">
      <w:pPr>
        <w:spacing w:after="0" w:line="360" w:lineRule="auto"/>
        <w:ind w:firstLine="420"/>
        <w:rPr>
          <w:rFonts w:ascii="Times New Roman" w:cs="Times New Roman" w:hAnsi="Times New Roman"/>
          <w:bCs/>
          <w:szCs w:val="21"/>
          <w:lang w:eastAsia="zh-CN"/>
        </w:rPr>
      </w:pPr>
      <w:bookmarkStart w:id="151" w:name="_Hlt70481650"/>
      <w:bookmarkEnd w:id="151"/>
      <w:r>
        <w:rPr>
          <w:rFonts w:ascii="Times New Roman" w:cs="Times New Roman" w:hAnsi="Times New Roman"/>
          <w:bCs/>
          <w:szCs w:val="21"/>
          <w:lang w:eastAsia="zh-CN"/>
        </w:rPr>
        <w:t>4、接受某笔或某些申购申请可能会影响或损害现有基金份额持有人利益时。</w:t>
      </w:r>
    </w:p>
    <w:p w14:paraId="0B7670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当一笔新的申购申请被确认成功，使本基金总规模超过基金管理人规定的本基金总规模上限时；或使本基金单日申购份额或净申购比例超过基金管理人规定的当日申购份额或净申购比例上限时；或该投资人累计持有的份额超过单个投资人累计持有的份额上限时；或该投资人当日申购份额超过单个投资人单日或单笔申购份额上限时。</w:t>
      </w:r>
    </w:p>
    <w:p w14:paraId="59D306E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6、基金资产规模过大，使基金管理人无法找到合适的投资品种，或其他可能对基金业绩产生负面影响，或发生其他损害现有基金份额持有人利益的情形。</w:t>
      </w:r>
    </w:p>
    <w:p w14:paraId="0FBD7563">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7、当前一估值日基金资产净值50%以上的资产出现无可参考的活跃市场价格且采用估值技术仍导致公允价值存在重大不确定性时，经与基金托管人协商确认后，基金管理人应当暂停接受基金申购申请。</w:t>
      </w:r>
    </w:p>
    <w:p w14:paraId="724D0EC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8、相关证券交易所、登记机构、申购赎回代理机构等因异常情况无法办理申购业务。</w:t>
      </w:r>
    </w:p>
    <w:p w14:paraId="113D1B3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9、基金管理人开市前因异常情况未能公布申购赎回清单或开市后发现基金份额参考净值计算错误。</w:t>
      </w:r>
    </w:p>
    <w:p w14:paraId="704A2A4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10、因异常情况导致申购赎回清单无法编制、编制不当或未能公布。</w:t>
      </w:r>
    </w:p>
    <w:p w14:paraId="6843E39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11、基金所投资的投资品种的估值出现重大转变时。</w:t>
      </w:r>
    </w:p>
    <w:p w14:paraId="0F7E178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12、法律法规规定或中国证监会、</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证券交易所认定的其他情形。</w:t>
      </w:r>
    </w:p>
    <w:p w14:paraId="735883E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发生上述第1-3、6-12项暂停申购情形之一且基金管理人决定暂停接受投资人申购申请时，基金管理人应当及时公告。如果投资人的申购申请被拒绝，被拒绝的申购对价将退还给投资人。在暂停申购的情况消除时，基金管理人应及时恢复申购业务的办理。</w:t>
      </w:r>
    </w:p>
    <w:p w14:paraId="25CA3A0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八、暂停赎回或延缓支付赎回对价的情形</w:t>
      </w:r>
    </w:p>
    <w:p w14:paraId="5A20B5B2">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发生下列情形时，基金管理人可暂停接受投资人的赎回申请或延缓支付赎回对价：</w:t>
      </w:r>
    </w:p>
    <w:p w14:paraId="33E74C60">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1、因不可抗力导致基金管理人不能支付赎回对价。</w:t>
      </w:r>
    </w:p>
    <w:p w14:paraId="4B69C921">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2、发生基金合同规定的暂停基金资产估值情况时，基金管理人可暂停接受投资人的赎回申请或延缓支付赎回对价。</w:t>
      </w:r>
    </w:p>
    <w:p w14:paraId="3455D10E">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3、证券/期货交易所交易时间非正常停市，导致基金管理人无法计算当日基金资产</w:t>
      </w:r>
      <w:bookmarkStart w:id="152" w:name="_Hlt152500890"/>
      <w:r>
        <w:rPr>
          <w:rFonts w:ascii="Times New Roman" w:cs="Times New Roman" w:hAnsi="Times New Roman"/>
          <w:b/>
          <w:bCs/>
          <w:szCs w:val="21"/>
          <w:lang w:eastAsia="zh-CN"/>
        </w:rPr>
        <w:t>净值。</w:t>
      </w:r>
    </w:p>
    <w:p w14:paraId="5B41C64C">
      <w:pPr>
        <w:spacing w:after="0" w:line="360" w:lineRule="auto"/>
        <w:ind w:firstLine="422"/>
        <w:rPr>
          <w:rFonts w:ascii="Times New Roman" w:cs="Times New Roman" w:hAnsi="Times New Roman"/>
          <w:b/>
          <w:szCs w:val="21"/>
          <w:lang w:eastAsia="zh-CN"/>
        </w:rPr>
      </w:pPr>
      <w:r>
        <w:rPr>
          <w:rFonts w:ascii="Times New Roman" w:cs="Times New Roman" w:hAnsi="Times New Roman"/>
          <w:b/>
          <w:szCs w:val="21"/>
          <w:lang w:eastAsia="zh-CN"/>
        </w:rPr>
        <w:t>4、发生继续接受赎回申请将损害现有基金份额持有人利益的情形时，基金管理人可暂停接受基金份额持有人的赎回申请。</w:t>
      </w:r>
    </w:p>
    <w:p w14:paraId="05614501">
      <w:pPr>
        <w:spacing w:after="0" w:line="360" w:lineRule="auto"/>
        <w:ind w:firstLine="422"/>
        <w:rPr>
          <w:rFonts w:ascii="Times New Roman" w:cs="Times New Roman" w:hAnsi="Times New Roman"/>
          <w:b/>
          <w:szCs w:val="21"/>
          <w:lang w:eastAsia="zh-CN"/>
        </w:rPr>
      </w:pPr>
      <w:r>
        <w:rPr>
          <w:rFonts w:ascii="Times New Roman" w:cs="Times New Roman" w:hAnsi="Times New Roman"/>
          <w:b/>
          <w:szCs w:val="21"/>
          <w:lang w:eastAsia="zh-CN"/>
        </w:rPr>
        <w:t>5、当前一估值日基金资产净值50%以上的资产出现无可参考的活跃市场价格且采用估值技术仍导致公允价值存在重大不确定性时，经与基金托管人协商确认后，基金管理人应当延缓支付赎回对价或暂停接受基金赎回申请。</w:t>
      </w:r>
    </w:p>
    <w:p w14:paraId="7FA0E058">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6、基金所投资的投资品种的估值出现重大转变时。</w:t>
      </w:r>
      <w:bookmarkEnd w:id="152"/>
    </w:p>
    <w:p w14:paraId="59CB9DE2">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7</w:t>
      </w:r>
      <w:r>
        <w:rPr>
          <w:rFonts w:ascii="Times New Roman" w:cs="Times New Roman" w:hAnsi="Times New Roman" w:hint="eastAsia"/>
          <w:b/>
          <w:bCs/>
          <w:szCs w:val="21"/>
          <w:lang w:eastAsia="zh-CN"/>
        </w:rPr>
        <w:t>、基金管理人可根据市场情况在申购赎回清单中设置赎回份额上限，如果一笔新的赎回申请被确认成功，会使本基金当日赎回份额超过申购赎回清单中规定的赎回份额上限时，该笔赎回申请将被拒绝。</w:t>
      </w:r>
    </w:p>
    <w:p w14:paraId="7374C223">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8、法律法规规定或中国证监会、</w:t>
      </w:r>
      <w:r>
        <w:rPr>
          <w:rFonts w:ascii="Times New Roman" w:cs="Times New Roman" w:hAnsi="Times New Roman" w:hint="eastAsia"/>
          <w:b/>
          <w:bCs/>
          <w:szCs w:val="21"/>
          <w:lang w:eastAsia="zh-CN"/>
        </w:rPr>
        <w:t>深圳</w:t>
      </w:r>
      <w:r>
        <w:rPr>
          <w:rFonts w:ascii="Times New Roman" w:cs="Times New Roman" w:hAnsi="Times New Roman"/>
          <w:b/>
          <w:bCs/>
          <w:szCs w:val="21"/>
          <w:lang w:eastAsia="zh-CN"/>
        </w:rPr>
        <w:t>证券交易所认定的其他情形。</w:t>
      </w:r>
    </w:p>
    <w:p w14:paraId="6148AD27">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发生上述情形之一且基金管理人决定暂停赎回或延缓支付赎回对价时，基金管理人应当及时公告。在暂停赎回的情况消除时，基金管理人应及时恢复赎回业务的办理并公告。</w:t>
      </w:r>
    </w:p>
    <w:p w14:paraId="3C27957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九、其他申购赎回方式</w:t>
      </w:r>
    </w:p>
    <w:p w14:paraId="559F0B4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1、基金管理人</w:t>
      </w:r>
      <w:r>
        <w:rPr>
          <w:rFonts w:ascii="Times New Roman" w:cs="Times New Roman" w:hAnsi="Times New Roman"/>
          <w:szCs w:val="21"/>
          <w:lang w:eastAsia="zh-CN"/>
        </w:rPr>
        <w:t>可以</w:t>
      </w:r>
      <w:r>
        <w:rPr>
          <w:rFonts w:ascii="Times New Roman" w:cs="Times New Roman" w:hAnsi="Times New Roman"/>
          <w:bCs/>
          <w:szCs w:val="21"/>
          <w:lang w:eastAsia="zh-CN"/>
        </w:rPr>
        <w:t>在不违反法律法规规定且对持有人利益无实质性不利影响的情况下，调整基金申购赎回方式或申购赎回对价组成，并提前公告。</w:t>
      </w:r>
    </w:p>
    <w:p w14:paraId="5181142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ETF联接基金是指将其绝大部分基金财产投资于跟踪同一标的指数的ETF，紧密跟踪标的指数表现，追求跟踪偏离度和跟踪误差最小化，采用开放式运作方式的基金。若本基金推出联接基金，联接基金可以用股票或现金特殊申购本基金基金份额，不收取申购费用。</w:t>
      </w:r>
    </w:p>
    <w:p w14:paraId="5FEE5F0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3、在条件允许时，基金管理人可开放集合申购，在对基金份额持有人利益无实质不利影响的前提下，基金管理人有权制定集合申购业务的相关规则。</w:t>
      </w:r>
    </w:p>
    <w:p w14:paraId="56C060F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4、基金管理人指定的代理机构可依据本基金合同开展其他服务，双方需签订书面委托代理协议并公告。</w:t>
      </w:r>
    </w:p>
    <w:p w14:paraId="2D55B4C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5、基金管理人可以根据具体情况，履行适当程序后，开通本基金的场外申购、赎回等相关业务，而无需召开基金份额持有人大会。场外申购、赎回的具体安排及规则等相关事项届时将另行公告。</w:t>
      </w:r>
    </w:p>
    <w:p w14:paraId="4C0451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w:t>
      </w:r>
      <w:r>
        <w:rPr>
          <w:rFonts w:ascii="Times New Roman" w:cs="Times New Roman" w:hAnsi="Times New Roman"/>
          <w:szCs w:val="21"/>
          <w:lang w:eastAsia="zh-CN"/>
        </w:rPr>
        <w:t>基金份额</w:t>
      </w:r>
      <w:r>
        <w:rPr>
          <w:rFonts w:ascii="Times New Roman" w:cs="Times New Roman" w:hAnsi="Times New Roman"/>
          <w:bCs/>
          <w:szCs w:val="21"/>
          <w:lang w:eastAsia="zh-CN"/>
        </w:rPr>
        <w:t>折算</w:t>
      </w:r>
    </w:p>
    <w:p w14:paraId="5CA6C3C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为提高交易便利或根据需要（如变更标</w:t>
      </w:r>
      <w:r>
        <w:rPr>
          <w:rFonts w:ascii="Times New Roman" w:cs="Times New Roman" w:hAnsi="Times New Roman"/>
          <w:szCs w:val="21"/>
          <w:lang w:eastAsia="zh-CN"/>
        </w:rPr>
        <w:t>的</w:t>
      </w:r>
      <w:r>
        <w:rPr>
          <w:rFonts w:ascii="Times New Roman" w:cs="Times New Roman" w:hAnsi="Times New Roman"/>
          <w:bCs/>
          <w:szCs w:val="21"/>
          <w:lang w:eastAsia="zh-CN"/>
        </w:rPr>
        <w:t>指数），基金管理人可向登记机构申请办理</w:t>
      </w:r>
      <w:r>
        <w:rPr>
          <w:rFonts w:ascii="Times New Roman" w:cs="Times New Roman" w:hAnsi="Times New Roman"/>
          <w:szCs w:val="21"/>
          <w:lang w:eastAsia="zh-CN"/>
        </w:rPr>
        <w:t>基金份额</w:t>
      </w:r>
      <w:r>
        <w:rPr>
          <w:rFonts w:ascii="Times New Roman" w:cs="Times New Roman" w:hAnsi="Times New Roman"/>
          <w:bCs/>
          <w:szCs w:val="21"/>
          <w:lang w:eastAsia="zh-CN"/>
        </w:rPr>
        <w:t>折算与变更登记。</w:t>
      </w:r>
      <w:r>
        <w:rPr>
          <w:rFonts w:ascii="Times New Roman" w:cs="Times New Roman" w:hAnsi="Times New Roman"/>
          <w:szCs w:val="21"/>
          <w:lang w:eastAsia="zh-CN"/>
        </w:rPr>
        <w:t>基金份额</w:t>
      </w:r>
      <w:r>
        <w:rPr>
          <w:rFonts w:ascii="Times New Roman" w:cs="Times New Roman" w:hAnsi="Times New Roman"/>
          <w:bCs/>
          <w:szCs w:val="21"/>
          <w:lang w:eastAsia="zh-CN"/>
        </w:rPr>
        <w:t>折算后，基金</w:t>
      </w:r>
      <w:r>
        <w:rPr>
          <w:rFonts w:ascii="Times New Roman" w:cs="Times New Roman" w:hAnsi="Times New Roman"/>
          <w:szCs w:val="21"/>
          <w:lang w:eastAsia="zh-CN"/>
        </w:rPr>
        <w:t>的基金份额</w:t>
      </w:r>
      <w:r>
        <w:rPr>
          <w:rFonts w:ascii="Times New Roman" w:cs="Times New Roman" w:hAnsi="Times New Roman"/>
          <w:bCs/>
          <w:szCs w:val="21"/>
          <w:lang w:eastAsia="zh-CN"/>
        </w:rPr>
        <w:t>总额与基金份额持有人持有的基金份额数额将发生调整，但调整后</w:t>
      </w:r>
      <w:r>
        <w:rPr>
          <w:rFonts w:ascii="Times New Roman" w:cs="Times New Roman" w:hAnsi="Times New Roman"/>
          <w:szCs w:val="21"/>
          <w:lang w:eastAsia="zh-CN"/>
        </w:rPr>
        <w:t>的基金份额持有人持有的基金份额</w:t>
      </w:r>
      <w:r>
        <w:rPr>
          <w:rFonts w:ascii="Times New Roman" w:cs="Times New Roman" w:hAnsi="Times New Roman"/>
          <w:bCs/>
          <w:szCs w:val="21"/>
          <w:lang w:eastAsia="zh-CN"/>
        </w:rPr>
        <w:t>占基金份额总额</w:t>
      </w:r>
      <w:r>
        <w:rPr>
          <w:rFonts w:ascii="Times New Roman" w:cs="Times New Roman" w:hAnsi="Times New Roman"/>
          <w:szCs w:val="21"/>
          <w:lang w:eastAsia="zh-CN"/>
        </w:rPr>
        <w:t>的</w:t>
      </w:r>
      <w:r>
        <w:rPr>
          <w:rFonts w:ascii="Times New Roman" w:cs="Times New Roman" w:hAnsi="Times New Roman"/>
          <w:bCs/>
          <w:szCs w:val="21"/>
          <w:lang w:eastAsia="zh-CN"/>
        </w:rPr>
        <w:t>比例不发生变化。基金份额折算对基金份额持有人的权益无实质性影响（除因尾数处理而产生的损益外）。基金份额折算后，基金份额持有人将按照折算后的基金份额享有权利并承担义务。基金管理人应就其具体事宜进行必要公告，并提前通知基金托管人。</w:t>
      </w:r>
    </w:p>
    <w:p w14:paraId="04B28C6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十一、基金份额的</w:t>
      </w:r>
      <w:r>
        <w:rPr>
          <w:rFonts w:ascii="Times New Roman" w:cs="Times New Roman" w:hAnsi="Times New Roman" w:hint="eastAsia"/>
          <w:bCs/>
          <w:szCs w:val="21"/>
          <w:lang w:eastAsia="zh-CN"/>
        </w:rPr>
        <w:t>转托管、</w:t>
      </w:r>
      <w:r>
        <w:rPr>
          <w:rFonts w:ascii="Times New Roman" w:cs="Times New Roman" w:hAnsi="Times New Roman"/>
          <w:bCs/>
          <w:szCs w:val="21"/>
          <w:lang w:eastAsia="zh-CN"/>
        </w:rPr>
        <w:t>非交易过户</w:t>
      </w:r>
      <w:r>
        <w:rPr>
          <w:rFonts w:ascii="Times New Roman" w:cs="Times New Roman" w:hAnsi="Times New Roman" w:hint="eastAsia"/>
          <w:bCs/>
          <w:szCs w:val="21"/>
          <w:lang w:eastAsia="zh-CN"/>
        </w:rPr>
        <w:t>、质押、冻结与解冻</w:t>
      </w:r>
      <w:r>
        <w:rPr>
          <w:rFonts w:ascii="Times New Roman" w:cs="Times New Roman" w:hAnsi="Times New Roman"/>
          <w:bCs/>
          <w:szCs w:val="21"/>
          <w:lang w:eastAsia="zh-CN"/>
        </w:rPr>
        <w:t>等其他业务</w:t>
      </w:r>
    </w:p>
    <w:p w14:paraId="50C0373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基金登记机构可依据</w:t>
      </w:r>
      <w:r>
        <w:rPr>
          <w:rFonts w:ascii="Times New Roman" w:cs="Times New Roman" w:hAnsi="Times New Roman"/>
          <w:szCs w:val="21"/>
          <w:lang w:eastAsia="zh-CN"/>
        </w:rPr>
        <w:t>相关</w:t>
      </w:r>
      <w:r>
        <w:rPr>
          <w:rFonts w:ascii="Times New Roman" w:cs="Times New Roman" w:hAnsi="Times New Roman"/>
          <w:bCs/>
          <w:szCs w:val="21"/>
          <w:lang w:eastAsia="zh-CN"/>
        </w:rPr>
        <w:t>法律法规及其业务规则，受理基金份额</w:t>
      </w:r>
      <w:r>
        <w:rPr>
          <w:rFonts w:ascii="Times New Roman" w:cs="Times New Roman" w:hAnsi="Times New Roman"/>
          <w:szCs w:val="21"/>
          <w:lang w:eastAsia="zh-CN"/>
        </w:rPr>
        <w:t>的</w:t>
      </w:r>
      <w:r>
        <w:rPr>
          <w:rFonts w:ascii="Times New Roman" w:cs="Times New Roman" w:hAnsi="Times New Roman"/>
          <w:bCs/>
          <w:szCs w:val="21"/>
          <w:lang w:eastAsia="zh-CN"/>
        </w:rPr>
        <w:t>转托管、</w:t>
      </w:r>
      <w:r>
        <w:rPr>
          <w:rFonts w:ascii="Times New Roman" w:cs="Times New Roman" w:hAnsi="Times New Roman"/>
          <w:szCs w:val="21"/>
          <w:lang w:eastAsia="zh-CN"/>
        </w:rPr>
        <w:t>非交易过户</w:t>
      </w:r>
      <w:r>
        <w:rPr>
          <w:rFonts w:ascii="Times New Roman" w:cs="Times New Roman" w:hAnsi="Times New Roman"/>
          <w:bCs/>
          <w:szCs w:val="21"/>
          <w:lang w:eastAsia="zh-CN"/>
        </w:rPr>
        <w:t>、质押、冻结与解冻等业务</w:t>
      </w:r>
      <w:r>
        <w:rPr>
          <w:rFonts w:ascii="Times New Roman" w:cs="Times New Roman" w:hAnsi="Times New Roman"/>
          <w:szCs w:val="21"/>
          <w:lang w:eastAsia="zh-CN"/>
        </w:rPr>
        <w:t>，并</w:t>
      </w:r>
      <w:r>
        <w:rPr>
          <w:rFonts w:ascii="Times New Roman" w:cs="Times New Roman" w:hAnsi="Times New Roman"/>
          <w:bCs/>
          <w:szCs w:val="21"/>
          <w:lang w:eastAsia="zh-CN"/>
        </w:rPr>
        <w:t>收取一定的手续费用</w:t>
      </w:r>
      <w:r>
        <w:rPr>
          <w:rFonts w:ascii="Times New Roman" w:cs="Times New Roman" w:hAnsi="Times New Roman"/>
          <w:szCs w:val="21"/>
          <w:lang w:eastAsia="zh-CN"/>
        </w:rPr>
        <w:t>。</w:t>
      </w:r>
    </w:p>
    <w:p w14:paraId="7912E18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十二、若</w:t>
      </w:r>
      <w:r>
        <w:rPr>
          <w:rFonts w:ascii="Times New Roman" w:cs="Times New Roman" w:hAnsi="Times New Roman" w:hint="eastAsia"/>
          <w:bCs/>
          <w:szCs w:val="21"/>
          <w:lang w:eastAsia="zh-CN"/>
        </w:rPr>
        <w:t>深圳</w:t>
      </w:r>
      <w:r>
        <w:rPr>
          <w:rFonts w:ascii="Times New Roman" w:cs="Times New Roman" w:hAnsi="Times New Roman"/>
          <w:bCs/>
          <w:szCs w:val="21"/>
          <w:lang w:eastAsia="zh-CN"/>
        </w:rPr>
        <w:t>证券交易所和中国证券登记结算有限责任公司针对交易型开放式指数证券投资基金调整或推出新的清算交收与登记模式并引入新的申购、赎回方式，本基金管理人有权调整本基金的清算交收与登记模式及申购、赎回方式，或新增本基金的清算交收与登记模式并引入新的申购、赎回方式，届时将发布公告予以披露并在本基金基金合同、招募说明书及其更新中予以更新，无须召开基金份额持有人大会审议。</w:t>
      </w:r>
    </w:p>
    <w:p w14:paraId="6462690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十三、基金管理人可在法律法规允许的范围内，在不影响基金份额持有人实质利益的前提下，根据市场情况对上述申购和赎回的安排进行补充和调整并提前公告。</w:t>
      </w:r>
    </w:p>
    <w:bookmarkEnd w:id="125"/>
    <w:p w14:paraId="2E6531B4">
      <w:pPr>
        <w:pStyle w:val="Heading1"/>
        <w:spacing w:after="0" w:before="0"/>
        <w:jc w:val="center"/>
        <w:rPr>
          <w:rFonts w:ascii="Times New Roman" w:cs="Times New Roman" w:hAnsi="Times New Roman"/>
          <w:color w:val="auto"/>
          <w:sz w:val="21"/>
          <w:szCs w:val="21"/>
          <w:lang w:eastAsia="zh-CN"/>
        </w:rPr>
      </w:pPr>
      <w:bookmarkStart w:id="153" w:name="_Toc16859"/>
      <w:r>
        <w:rPr>
          <w:rFonts w:ascii="Times New Roman" w:cs="Times New Roman" w:hAnsi="Times New Roman"/>
          <w:bCs/>
          <w:color w:val="auto"/>
          <w:sz w:val="21"/>
          <w:szCs w:val="21"/>
          <w:lang w:eastAsia="zh-CN"/>
        </w:rPr>
        <w:br w:type="page"/>
      </w:r>
      <w:bookmarkStart w:id="154" w:name="_Toc11159931"/>
      <w:bookmarkStart w:id="155" w:name="_Toc123102454"/>
      <w:bookmarkStart w:id="156" w:name="_Toc100246523"/>
      <w:bookmarkStart w:id="157" w:name="_Toc98560353"/>
      <w:bookmarkStart w:id="158" w:name="_Toc57364977"/>
      <w:bookmarkStart w:id="159" w:name="_Toc26207"/>
      <w:bookmarkStart w:id="160" w:name="_Toc12245"/>
      <w:bookmarkStart w:id="161" w:name="_Toc15143"/>
      <w:bookmarkStart w:id="162" w:name="_Toc139991737"/>
      <w:bookmarkStart w:id="163" w:name="_Toc123051453"/>
      <w:bookmarkStart w:id="164" w:name="_Toc6405"/>
      <w:bookmarkStart w:id="165" w:name="_Toc31235"/>
      <w:bookmarkStart w:id="166" w:name="_Toc31653"/>
      <w:bookmarkStart w:id="167" w:name="_Toc14835"/>
      <w:bookmarkStart w:id="168" w:name="_Toc31644"/>
      <w:bookmarkStart w:id="169" w:name="_Toc3601"/>
      <w:bookmarkStart w:id="170" w:name="_Toc29251"/>
      <w:bookmarkStart w:id="171" w:name="_Toc141703887"/>
      <w:bookmarkStart w:id="172" w:name="_Toc123112235"/>
      <w:r>
        <w:rPr>
          <w:rFonts w:ascii="Times New Roman" w:cs="Times New Roman" w:hAnsi="Times New Roman"/>
          <w:color w:val="auto"/>
          <w:sz w:val="21"/>
          <w:szCs w:val="21"/>
          <w:lang w:eastAsia="zh-CN"/>
        </w:rPr>
        <w:t>第八部分  基金合同当事人及权利义务</w:t>
      </w:r>
      <w:bookmarkEnd w:id="15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Start w:id="173" w:name="_Hlt55355235"/>
      <w:bookmarkEnd w:id="173"/>
      <w:bookmarkStart w:id="174" w:name="_Toc523711668"/>
      <w:bookmarkStart w:id="175" w:name="_Toc79392580"/>
      <w:bookmarkStart w:id="176" w:name="_Toc57530239"/>
      <w:bookmarkStart w:id="177" w:name="_Toc15118234"/>
    </w:p>
    <w:p w14:paraId="7B308447">
      <w:pPr>
        <w:spacing w:after="0" w:line="360" w:lineRule="auto"/>
        <w:ind w:firstLine="420"/>
        <w:rPr>
          <w:rFonts w:ascii="Times New Roman" w:cs="Times New Roman" w:hAnsi="Times New Roman"/>
          <w:bCs/>
          <w:szCs w:val="21"/>
          <w:lang w:eastAsia="zh-CN"/>
        </w:rPr>
      </w:pPr>
    </w:p>
    <w:p w14:paraId="0F4F9959">
      <w:pPr>
        <w:spacing w:after="0" w:line="360" w:lineRule="auto"/>
        <w:ind w:firstLine="420"/>
        <w:rPr>
          <w:rFonts w:ascii="Times New Roman" w:cs="Times New Roman" w:hAnsi="Times New Roman"/>
          <w:bCs/>
          <w:szCs w:val="21"/>
          <w:lang w:eastAsia="zh-CN"/>
        </w:rPr>
      </w:pPr>
      <w:bookmarkStart w:id="178" w:name="_Hlk149132186"/>
      <w:r>
        <w:rPr>
          <w:rFonts w:ascii="Times New Roman" w:cs="Times New Roman" w:hAnsi="Times New Roman"/>
          <w:bCs/>
          <w:szCs w:val="21"/>
          <w:lang w:eastAsia="zh-CN"/>
        </w:rPr>
        <w:t>一、基金</w:t>
      </w:r>
      <w:bookmarkEnd w:id="174"/>
      <w:r>
        <w:rPr>
          <w:rFonts w:ascii="Times New Roman" w:cs="Times New Roman" w:hAnsi="Times New Roman"/>
          <w:bCs/>
          <w:szCs w:val="21"/>
          <w:lang w:eastAsia="zh-CN"/>
        </w:rPr>
        <w:t>管理人</w:t>
      </w:r>
      <w:bookmarkEnd w:id="175"/>
      <w:bookmarkEnd w:id="176"/>
      <w:bookmarkEnd w:id="177"/>
    </w:p>
    <w:p w14:paraId="7BBAA10D">
      <w:pPr>
        <w:spacing w:after="0" w:line="360" w:lineRule="auto"/>
        <w:ind w:firstLine="420"/>
        <w:rPr>
          <w:rFonts w:ascii="Times New Roman" w:cs="Times New Roman" w:hAnsi="Times New Roman"/>
          <w:bCs/>
          <w:szCs w:val="21"/>
          <w:lang w:eastAsia="zh-CN"/>
        </w:rPr>
      </w:pPr>
      <w:bookmarkStart w:id="179" w:name="_Toc15118235"/>
      <w:r>
        <w:rPr>
          <w:rFonts w:ascii="Times New Roman" w:cs="Times New Roman" w:hAnsi="Times New Roman"/>
          <w:bCs/>
          <w:szCs w:val="21"/>
          <w:lang w:eastAsia="zh-CN"/>
        </w:rPr>
        <w:t>（一）基金管理人简况</w:t>
      </w:r>
      <w:bookmarkEnd w:id="179"/>
    </w:p>
    <w:p w14:paraId="41C178FE">
      <w:pPr>
        <w:spacing w:after="0" w:line="360" w:lineRule="auto"/>
        <w:ind w:firstLine="420"/>
        <w:rPr>
          <w:rFonts w:ascii="Times New Roman" w:cs="Times New Roman" w:hAnsi="Times New Roman"/>
          <w:bCs/>
          <w:szCs w:val="21"/>
          <w:lang w:eastAsia="zh-CN"/>
        </w:rPr>
      </w:pPr>
      <w:bookmarkStart w:id="180" w:name="_Toc15118236"/>
      <w:bookmarkStart w:id="181" w:name="_Toc15118237"/>
      <w:r>
        <w:rPr>
          <w:rFonts w:ascii="Times New Roman" w:cs="Times New Roman" w:hAnsi="Times New Roman"/>
          <w:bCs/>
          <w:szCs w:val="21"/>
          <w:lang w:eastAsia="zh-CN"/>
        </w:rPr>
        <w:t>名称：</w:t>
      </w:r>
      <w:bookmarkEnd w:id="180"/>
      <w:r>
        <w:rPr>
          <w:rFonts w:ascii="Times New Roman" w:cs="Times New Roman" w:hAnsi="Times New Roman"/>
          <w:bCs/>
          <w:szCs w:val="21"/>
          <w:lang w:eastAsia="zh-CN"/>
        </w:rPr>
        <w:t>华夏基金管理有限公司</w:t>
      </w:r>
    </w:p>
    <w:p w14:paraId="364B791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住所：北京市顺义区</w:t>
      </w:r>
      <w:bookmarkStart w:id="182" w:name="_Hlk45875637"/>
      <w:r>
        <w:rPr>
          <w:rFonts w:ascii="Times New Roman" w:cs="Times New Roman" w:hAnsi="Times New Roman"/>
          <w:bCs/>
          <w:szCs w:val="21"/>
          <w:lang w:eastAsia="zh-CN"/>
        </w:rPr>
        <w:t>安庆大街甲3号院</w:t>
      </w:r>
      <w:bookmarkEnd w:id="182"/>
    </w:p>
    <w:p w14:paraId="087273B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法定代表人：</w:t>
      </w:r>
      <w:r>
        <w:rPr>
          <w:rFonts w:ascii="Times New Roman" w:cs="Times New Roman" w:hAnsi="Times New Roman" w:hint="eastAsia"/>
          <w:szCs w:val="21"/>
          <w:lang w:eastAsia="zh-CN"/>
        </w:rPr>
        <w:t>邹迎光</w:t>
      </w:r>
    </w:p>
    <w:p w14:paraId="29CE7B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设立日期：1998年4月9日</w:t>
      </w:r>
    </w:p>
    <w:p w14:paraId="716ED5D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批准设立机关及批准设立文号：中国证监会证监基字[1998]16号文</w:t>
      </w:r>
    </w:p>
    <w:p w14:paraId="440E3F1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组织形式：有限责任公司</w:t>
      </w:r>
    </w:p>
    <w:p w14:paraId="7197592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注册资本：2.38亿元人民币</w:t>
      </w:r>
    </w:p>
    <w:p w14:paraId="56441A6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联系电话：400-818-6666</w:t>
      </w:r>
    </w:p>
    <w:p w14:paraId="0DB6280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（二）基金管理人的权利与义务</w:t>
      </w:r>
      <w:bookmarkEnd w:id="181"/>
    </w:p>
    <w:p w14:paraId="202B68D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1、根据《基金法》、《运作办法》及其他有关规定，基金管理人的权利包括但不限于：</w:t>
      </w:r>
    </w:p>
    <w:p w14:paraId="3C62E6F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（1）依法募集</w:t>
      </w:r>
      <w:r>
        <w:rPr>
          <w:rFonts w:ascii="Times New Roman" w:cs="Times New Roman" w:hAnsi="Times New Roman" w:hint="eastAsia"/>
          <w:bCs/>
          <w:szCs w:val="21"/>
          <w:lang w:eastAsia="zh-CN"/>
        </w:rPr>
        <w:t>资金</w:t>
      </w:r>
      <w:r>
        <w:rPr>
          <w:rFonts w:ascii="Times New Roman" w:cs="Times New Roman" w:hAnsi="Times New Roman"/>
          <w:bCs/>
          <w:szCs w:val="21"/>
          <w:lang w:eastAsia="zh-CN"/>
        </w:rPr>
        <w:t>；</w:t>
      </w:r>
    </w:p>
    <w:p w14:paraId="39425A4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（2）自《基金合同》生效之日起，根据法律法规和《基金合同》独立运用并管理基金财产；</w:t>
      </w:r>
    </w:p>
    <w:p w14:paraId="418F495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（3）依照《基金合同》收取基金管理费以及法律法规规定或中国证监会批准的其他费用；</w:t>
      </w:r>
    </w:p>
    <w:p w14:paraId="30FE454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（4）销售基金份额；</w:t>
      </w:r>
    </w:p>
    <w:p w14:paraId="25B3D1F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w:t>
      </w:r>
      <w:bookmarkStart w:id="183" w:name="_Hlt88896155"/>
      <w:r>
        <w:rPr>
          <w:rFonts w:ascii="Times New Roman" w:cs="Times New Roman" w:hAnsi="Times New Roman"/>
          <w:bCs/>
          <w:szCs w:val="21"/>
          <w:lang w:eastAsia="zh-CN"/>
        </w:rPr>
        <w:t>按照规定召集</w:t>
      </w:r>
      <w:bookmarkEnd w:id="183"/>
      <w:r>
        <w:rPr>
          <w:rFonts w:ascii="Times New Roman" w:cs="Times New Roman" w:hAnsi="Times New Roman"/>
          <w:bCs/>
          <w:szCs w:val="21"/>
          <w:lang w:eastAsia="zh-CN"/>
        </w:rPr>
        <w:t>基金份额持有人大会；</w:t>
      </w:r>
    </w:p>
    <w:p w14:paraId="7E8AB42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（6）依据《基金合同》及有关法律规定监督基金托管人，如认为基金托管人违反了《基金合同》及国家有关法律规定，应呈报中国证监会和其他监管部门，并采取必要措施保护基金投资者的利益；</w:t>
      </w:r>
    </w:p>
    <w:p w14:paraId="2A2E9B6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（7）在基金托管人更换时，提名新的基金托管人；</w:t>
      </w:r>
    </w:p>
    <w:p w14:paraId="590BB64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（8）选择、更换基金销售机构，对基金销售机构的相关行为进行监督和处理； </w:t>
      </w:r>
    </w:p>
    <w:p w14:paraId="315C73B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（9）担任或委托其他符合条件的机构担任基金登记机构办理基金登记业务并获得《基金合同》规定的费用； </w:t>
      </w:r>
    </w:p>
    <w:p w14:paraId="42CF4C7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（10）依据《基金合同》及有关法律规定决定基金收益的分配方案；</w:t>
      </w:r>
    </w:p>
    <w:p w14:paraId="25B4E15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（11）在《基金合同》约定的范围内，拒绝或暂停受理申购与赎回申请； </w:t>
      </w:r>
    </w:p>
    <w:p w14:paraId="2735D9B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（12）依照法律法规为基金的利益对被投资公司行使股东权利，为基金的利益行使因基金财产投资于证券</w:t>
      </w:r>
      <w:r>
        <w:rPr>
          <w:rFonts w:ascii="Times New Roman" w:cs="Times New Roman" w:hAnsi="Times New Roman" w:hint="eastAsia"/>
          <w:bCs/>
          <w:szCs w:val="21"/>
          <w:lang w:eastAsia="zh-CN"/>
        </w:rPr>
        <w:t>/期货</w:t>
      </w:r>
      <w:r>
        <w:rPr>
          <w:rFonts w:ascii="Times New Roman" w:cs="Times New Roman" w:hAnsi="Times New Roman"/>
          <w:bCs/>
          <w:szCs w:val="21"/>
          <w:lang w:eastAsia="zh-CN"/>
        </w:rPr>
        <w:t>所产生的权利；</w:t>
      </w:r>
      <w:r>
        <w:rPr>
          <w:rFonts w:ascii="Times New Roman" w:cs="Times New Roman" w:hAnsi="Times New Roman"/>
          <w:bCs/>
          <w:szCs w:val="21"/>
          <w:lang w:eastAsia="zh-CN"/>
        </w:rPr>
        <w:tab/>
      </w:r>
    </w:p>
    <w:p w14:paraId="57ED24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（13）在法律法规允许的前提下，为基金的利益依法为基金进行融资、</w:t>
      </w:r>
      <w:r>
        <w:rPr>
          <w:rFonts w:ascii="Times New Roman" w:cs="Times New Roman" w:hAnsi="Times New Roman" w:hint="eastAsia"/>
          <w:bCs/>
          <w:szCs w:val="21"/>
          <w:lang w:eastAsia="zh-CN"/>
        </w:rPr>
        <w:t>融券及</w:t>
      </w:r>
      <w:r>
        <w:rPr>
          <w:rFonts w:ascii="Times New Roman" w:cs="Times New Roman" w:hAnsi="Times New Roman"/>
          <w:bCs/>
          <w:szCs w:val="21"/>
          <w:lang w:eastAsia="zh-CN"/>
        </w:rPr>
        <w:t xml:space="preserve">转融通证券出借等业务； </w:t>
      </w:r>
    </w:p>
    <w:p w14:paraId="3F95B4D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（14）以基金管理人的名义，代表基金份额持有人的利益行使诉讼权利或者实施其他法律行为；</w:t>
      </w:r>
    </w:p>
    <w:p w14:paraId="6D47C8B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（15）选择、更换律师事务所、会计师事务所、证券/期货经纪商或其他为基金提供服务的外部机构；</w:t>
      </w:r>
    </w:p>
    <w:p w14:paraId="75ECE7A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（16）在符合有关法律、法规的前提下，制订和调整有关基金认购、申购、赎回、交易、收益分配、非交易过户、转托管等业务规则；</w:t>
      </w:r>
    </w:p>
    <w:p w14:paraId="1C80E32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（17）基金管理人有权根据反洗钱法律法规的相关规定，结合基金份额持有人洗钱风险状况，采取相应合理的控制措施；</w:t>
      </w:r>
    </w:p>
    <w:p w14:paraId="1796A95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（18）委托第三方机构办理本基金的交易、清算、估值、结算等业务；</w:t>
      </w:r>
    </w:p>
    <w:p w14:paraId="09EADFC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19）委托证券经纪商在证券交易所进行各类证券交易、证券交收，以及相关证券交易的资金交收等证券经纪服务。证券经纪服务的相关权利、义务，由基金管理人与证券经纪商签订的《证券经纪服务协议》约定为准；</w:t>
      </w:r>
    </w:p>
    <w:p w14:paraId="129763C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（20）法律法规及中国证监会规定的和《基金合同》约定的其他权利。</w:t>
      </w:r>
    </w:p>
    <w:p w14:paraId="54DABF2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2、根据《基金法》、《运作办法》及其他有关规定，基金管理人的义务包括但不限于：</w:t>
      </w:r>
    </w:p>
    <w:p w14:paraId="66E30A8F">
      <w:pPr>
        <w:spacing w:after="0" w:line="360" w:lineRule="auto"/>
        <w:ind w:firstLine="420"/>
        <w:rPr>
          <w:rFonts w:ascii="Times New Roman" w:cs="Times New Roman" w:hAnsi="Times New Roman"/>
          <w:bCs/>
          <w:szCs w:val="21"/>
          <w:lang w:eastAsia="zh-CN"/>
        </w:rPr>
      </w:pPr>
      <w:bookmarkStart w:id="184" w:name="_Toc523711669"/>
      <w:r>
        <w:rPr>
          <w:rFonts w:ascii="Times New Roman" w:cs="Times New Roman" w:hAnsi="Times New Roman"/>
          <w:bCs/>
          <w:szCs w:val="21"/>
          <w:lang w:eastAsia="zh-CN"/>
        </w:rPr>
        <w:t>（1）依法募集</w:t>
      </w:r>
      <w:r>
        <w:rPr>
          <w:rFonts w:ascii="Times New Roman" w:cs="Times New Roman" w:hAnsi="Times New Roman" w:hint="eastAsia"/>
          <w:bCs/>
          <w:szCs w:val="21"/>
          <w:lang w:eastAsia="zh-CN"/>
        </w:rPr>
        <w:t>资金</w:t>
      </w:r>
      <w:r>
        <w:rPr>
          <w:rFonts w:ascii="Times New Roman" w:cs="Times New Roman" w:hAnsi="Times New Roman"/>
          <w:bCs/>
          <w:szCs w:val="21"/>
          <w:lang w:eastAsia="zh-CN"/>
        </w:rPr>
        <w:t>，办理或者委托经中国证监会认定的其他机构代为办理基金份额的发售、申购、赎回和登记事宜；</w:t>
      </w:r>
    </w:p>
    <w:p w14:paraId="2F190B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（2）办理基金备案手续；</w:t>
      </w:r>
    </w:p>
    <w:p w14:paraId="6ED2A23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（3）自《基金合同》生效之日起，以诚实信用、谨慎勤勉的原则管理和运用基金财产；</w:t>
      </w:r>
    </w:p>
    <w:p w14:paraId="21A7239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（4）配备足够的具有专业资格的人员进行基金投资分析、决策，以专业化的经营方式管理和运作基金财产；</w:t>
      </w:r>
    </w:p>
    <w:p w14:paraId="240DA72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（5）建立健全内部风险控制、监察与稽核、财务管理及人事管理等制度，保证所管理的基金财产和基金管理人的财产相互独立，对所管理的不同基金分别管理，分别记账，进行证券投资；</w:t>
      </w:r>
    </w:p>
    <w:p w14:paraId="3AD3808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（6）除依据《基金法》、《基金合同》及其他有关规定外，不得利用基金财产为自己及任何第三人谋取利益，不得委托第三人运作基金财产；</w:t>
      </w:r>
      <w:bookmarkStart w:id="185" w:name="_Hlt88897298"/>
      <w:bookmarkEnd w:id="185"/>
    </w:p>
    <w:p w14:paraId="5EF7903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（7）依法接受基金托管人的监督；</w:t>
      </w:r>
    </w:p>
    <w:p w14:paraId="5A63820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（8）采取适当合理的措施使计算基金份额认购价格、申购、赎回对价的方法符合《基金合同》等法律文件的规定，按有关规定计算并公告基金净值信息，确定基金份额申购、赎回的对价，编制申购赎回清单；</w:t>
      </w:r>
    </w:p>
    <w:p w14:paraId="367FA19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（9）进行基金会计核算并编制基金财务会计报告；</w:t>
      </w:r>
    </w:p>
    <w:p w14:paraId="59677C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（10）编制季度报告、中期报告和年度报告；</w:t>
      </w:r>
    </w:p>
    <w:p w14:paraId="721074D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（11）严格按照《基金法》、《基金合同》及其他有关规定，履行信息披露及报告义务；</w:t>
      </w:r>
    </w:p>
    <w:p w14:paraId="7C5E566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保守基金商业秘密，不泄露基金投资计划、投资意向等。除《基金法》、《基金合同》及其他有关规定另有规定外，在基金信息公开披露前应予保密，不向他人泄露，因监管机构、司法机关等有权机关的要求以及向审计、法律等外部专业顾问提供的情况除外；</w:t>
      </w:r>
    </w:p>
    <w:p w14:paraId="4A26B85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（13）按《基金合同》的约定确定基金收益分配方案，及时向基金份额持有人分配基金收益；</w:t>
      </w:r>
    </w:p>
    <w:p w14:paraId="4A7BB21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（14）按规定受理申购与赎回申请，及时、足额支付赎回对价；</w:t>
      </w:r>
    </w:p>
    <w:p w14:paraId="066CAC5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（15）依据《基金法》、《基金合同》及其他有关规定召集基金份额持有人大会或配合基金托管人、基金份额持有人依法召集基金份额持有人大会；</w:t>
      </w:r>
    </w:p>
    <w:p w14:paraId="121C937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（16）按规定保存基金财产管理业务活动的会计账册、报表、记录和其他相关资料，保存期限不低于法律法规规定的最低期限；</w:t>
      </w:r>
    </w:p>
    <w:p w14:paraId="6D51505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383B78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（18）组织并参加基金财产清算小组，参与基金财产的保管、清理、估价、变现和分配；</w:t>
      </w:r>
    </w:p>
    <w:p w14:paraId="4F2395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（19）面临解散、依法被撤销或者被依法宣告破产时，及时报告中国证监会并通知基金托管人；</w:t>
      </w:r>
    </w:p>
    <w:p w14:paraId="232FD2B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（20）因违反《基金合同》导致基金财产的损失或损害基金份额持有人合法权益时，应当承担赔偿责任，其赔偿责任不因其退任而免除；</w:t>
      </w:r>
    </w:p>
    <w:p w14:paraId="7CB3D48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（21）监督基金托管人按法律法规和《基金合同》规定履行自己的义务，基金托管人违反《基金合同》造成基金财产损失时，基金管理人应为基金份额持有人利益向基金托管人追偿；</w:t>
      </w:r>
    </w:p>
    <w:p w14:paraId="19EC35C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（22）当基金管理人将其义务委托第三方处理时，应当对第三方处理有关基金事务的行为承担责任；</w:t>
      </w:r>
    </w:p>
    <w:p w14:paraId="15D7CF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（23）以基金管理人名义，代表基金份额持有人利益行使诉讼权利或实施其他法律行为；</w:t>
      </w:r>
    </w:p>
    <w:p w14:paraId="134A35B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（24）基金管理人在募集期间未能达到基金</w:t>
      </w:r>
      <w:bookmarkStart w:id="186" w:name="_Hlt88823209"/>
      <w:bookmarkEnd w:id="186"/>
      <w:r>
        <w:rPr>
          <w:rFonts w:ascii="Times New Roman" w:cs="Times New Roman" w:hAnsi="Times New Roman"/>
          <w:bCs/>
          <w:szCs w:val="21"/>
          <w:lang w:eastAsia="zh-CN"/>
        </w:rPr>
        <w:t>的备案条件，《基金合同》不能生效，基金管理人承担因募集行为而产生的费用，将已募集资金并加计银行同期活期存款利息在基金募集期结束后30日内退还基金认购人；募集期间网下股票认购所募集的股票由登记机构予以</w:t>
      </w:r>
      <w:r>
        <w:rPr>
          <w:rFonts w:ascii="Times New Roman" w:cs="Times New Roman" w:hAnsi="Times New Roman" w:hint="eastAsia"/>
          <w:bCs/>
          <w:szCs w:val="21"/>
          <w:lang w:eastAsia="zh-CN"/>
        </w:rPr>
        <w:t>解冻</w:t>
      </w:r>
      <w:r>
        <w:rPr>
          <w:rFonts w:ascii="Times New Roman" w:cs="Times New Roman" w:hAnsi="Times New Roman"/>
          <w:bCs/>
          <w:szCs w:val="21"/>
          <w:lang w:eastAsia="zh-CN"/>
        </w:rPr>
        <w:t>；</w:t>
      </w:r>
    </w:p>
    <w:p w14:paraId="20FBB16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（25）执行生效的基金份额持有人大会的决议；</w:t>
      </w:r>
    </w:p>
    <w:p w14:paraId="72D29DC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（26）建立并保存基金份额持有人名册；</w:t>
      </w:r>
    </w:p>
    <w:p w14:paraId="14FBCCD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（27）法律法规及中国证监会规定的和《基金合同》约定的其他义务。</w:t>
      </w:r>
    </w:p>
    <w:bookmarkEnd w:id="184"/>
    <w:p w14:paraId="1AED023C">
      <w:pPr>
        <w:spacing w:after="0" w:line="360" w:lineRule="auto"/>
        <w:ind w:firstLine="420"/>
        <w:rPr>
          <w:rFonts w:ascii="Times New Roman" w:cs="Times New Roman" w:hAnsi="Times New Roman"/>
          <w:bCs/>
          <w:szCs w:val="21"/>
          <w:lang w:eastAsia="zh-CN"/>
        </w:rPr>
      </w:pPr>
      <w:bookmarkStart w:id="187" w:name="_Toc79392582"/>
      <w:r>
        <w:rPr>
          <w:rFonts w:ascii="Times New Roman" w:cs="Times New Roman" w:hAnsi="Times New Roman" w:hint="eastAsia"/>
          <w:bCs/>
          <w:szCs w:val="21"/>
          <w:lang w:eastAsia="zh-CN"/>
        </w:rPr>
        <w:t>二、基金托管人</w:t>
      </w:r>
    </w:p>
    <w:p w14:paraId="117B73E4">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（一）基金托管人简况</w:t>
      </w:r>
    </w:p>
    <w:p w14:paraId="4819BF3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名称：中国建设银行股份有限公司</w:t>
      </w:r>
    </w:p>
    <w:p w14:paraId="1ECA064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住所：北京市西城区金融大街25号</w:t>
      </w:r>
    </w:p>
    <w:p w14:paraId="475F0B4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办公地址：北京市西城区闹市口大街1号院1号楼</w:t>
      </w:r>
    </w:p>
    <w:p w14:paraId="2440CC48">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邮政编码：100033</w:t>
      </w:r>
    </w:p>
    <w:p w14:paraId="64E9BB0C">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法定代表人：张金良</w:t>
      </w:r>
    </w:p>
    <w:p w14:paraId="75B9B3D7">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成立日期：2004年09月17日</w:t>
      </w:r>
    </w:p>
    <w:p w14:paraId="7035424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基金托管业务批准文号：中国证监会证监基字[1998]12号</w:t>
      </w:r>
    </w:p>
    <w:p w14:paraId="463D864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组织形式：股份有限公司</w:t>
      </w:r>
    </w:p>
    <w:p w14:paraId="4155007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注册资本：</w:t>
      </w:r>
      <w:r>
        <w:rPr>
          <w:rFonts w:hint="eastAsia"/>
          <w:lang w:eastAsia="zh-CN"/>
        </w:rPr>
        <w:t>贰仟陆佰壹拾陆亿零叁拾捌万壹仟肆佰伍拾玖元</w:t>
      </w:r>
      <w:r>
        <w:rPr>
          <w:rFonts w:ascii="Times New Roman" w:cs="Times New Roman" w:hAnsi="Times New Roman" w:hint="eastAsia"/>
          <w:bCs/>
          <w:szCs w:val="21"/>
          <w:lang w:eastAsia="zh-CN"/>
        </w:rPr>
        <w:t>整</w:t>
      </w:r>
    </w:p>
    <w:p w14:paraId="7500020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存续期间：持续经营</w:t>
      </w:r>
    </w:p>
    <w:p w14:paraId="1C5A280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49BF310C">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（二）基金托管人的权利与义务</w:t>
      </w:r>
    </w:p>
    <w:p w14:paraId="46C9674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1、根据《基金法》、《运作办法》及其他有关规定，基金托管人的权利包括但不限于：</w:t>
      </w:r>
    </w:p>
    <w:p w14:paraId="378C31C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（1）自《基金合同》生效之日起，依法律法规和《基金合同》的规定安全保管基金财产；</w:t>
      </w:r>
    </w:p>
    <w:p w14:paraId="185DE24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（2）依《基金合同》约定获得基金托管费以及法律法规规定或监管部门批准的其他费用；</w:t>
      </w:r>
    </w:p>
    <w:p w14:paraId="64BF835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21F1CA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（4）根据相关市场规则，为基金开设资金账户、证券账户等投资所需账户、为基金办理场外证券交易资金清算；</w:t>
      </w:r>
    </w:p>
    <w:p w14:paraId="1E9B811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（5）提议召开或召集基金份额持有人大会；</w:t>
      </w:r>
    </w:p>
    <w:p w14:paraId="4EB45FA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（6）在基金管理人更换时，提名新的基金管理人；</w:t>
      </w:r>
    </w:p>
    <w:p w14:paraId="78C6F6D0">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（7）法律法规及中国证监会规定的和《基金合同》约定的其他权利。</w:t>
      </w:r>
    </w:p>
    <w:p w14:paraId="03F785A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2、根据《基金法》、《运作办法》及其他有关规定，基金托管人的义务包括但不限于：</w:t>
      </w:r>
    </w:p>
    <w:p w14:paraId="49CEDCF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（1）以诚实信用、勤勉尽责的原则持有并安全保管基金财产；</w:t>
      </w:r>
    </w:p>
    <w:p w14:paraId="2000ABC8">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（2）设立专门的基金托管部门，具有符合要求的营业场所，配备足够的、合格的熟悉基金托管业务的专职人员，负责基金财产托管事宜；</w:t>
      </w:r>
    </w:p>
    <w:p w14:paraId="54CAD14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3CB5E6C">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（4）除依据《基金法》、《基金合同》及其他有关规定外，不得利用基金财产为自己及任何第三人谋取利益，不得委托第三人托管基金财产；</w:t>
      </w:r>
    </w:p>
    <w:p w14:paraId="2BF20F9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（5）保管由基金管理人代表基金签订的与基金有关的重大合同及有关凭证；</w:t>
      </w:r>
    </w:p>
    <w:p w14:paraId="004D73E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（6）按规定开设基金财产的资金账户、证券账户等投资所需账户，按照《基金合同》的约定，根据基金管理人的投资指令，及时办理清算、交割事宜；</w:t>
      </w:r>
    </w:p>
    <w:p w14:paraId="3663CFB7">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7）保守基金商业秘密，除《基金法》、《基金合同》及其他有关规定另有规定外，在基金信息公开披露前予以保密，不得向他人泄露，但因监管机构、司法机关等有权机关的要求，或因向审计、法律等外部专业顾问提供服务需要提供的情况除外；</w:t>
      </w:r>
    </w:p>
    <w:p w14:paraId="2E2469D0">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（8）复核、审查基金管理人计算的基金资产净值、基金份额净值；</w:t>
      </w:r>
    </w:p>
    <w:p w14:paraId="45FC199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（9）办理与基金托管业务活动有关的信息披露事项；</w:t>
      </w:r>
    </w:p>
    <w:p w14:paraId="736FA00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1C5C3B3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（11）保存基金托管业务活动的记录、账册、报表和其他相关资料，保存期限不少于法定最低期限；</w:t>
      </w:r>
    </w:p>
    <w:p w14:paraId="19595A4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（12）从基金管理人或其委托的登记机构处接收并保存基金份额持有人名册；</w:t>
      </w:r>
    </w:p>
    <w:p w14:paraId="13E8CB02">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（13）按规定制作相关账册并与基金管理人核对；</w:t>
      </w:r>
    </w:p>
    <w:p w14:paraId="64C0B93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（14）依据基金管理人的指令或有关规定向基金份额持有人支付基金收益和赎回对价；</w:t>
      </w:r>
    </w:p>
    <w:p w14:paraId="508E09E8">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（15）依据《基金法》、《基金合同》及其他有关规定，召集基金份额持有人大会或配合基金管理人、基金份额持有人依法召集基金份额持有人大会；</w:t>
      </w:r>
    </w:p>
    <w:p w14:paraId="741EF972">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（16）按照法律法规和《基金合同》的规定监督基金管理人的投资运作；</w:t>
      </w:r>
    </w:p>
    <w:p w14:paraId="6354876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（17）参加基金财产清算小组，参与基金财产的保管、清理、估价、变现和分配；</w:t>
      </w:r>
    </w:p>
    <w:p w14:paraId="3CDB06A2">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（18）面临解散、依法被撤销或者被依法宣告破产时，及时报告中国证监会</w:t>
      </w:r>
      <w:r>
        <w:rPr>
          <w:rFonts w:hint="eastAsia"/>
          <w:bCs/>
          <w:szCs w:val="21"/>
          <w:lang w:eastAsia="zh-CN"/>
        </w:rPr>
        <w:t>和银行业监督管理机构</w:t>
      </w:r>
      <w:r>
        <w:rPr>
          <w:rFonts w:ascii="Times New Roman" w:cs="Times New Roman" w:hAnsi="Times New Roman" w:hint="eastAsia"/>
          <w:bCs/>
          <w:szCs w:val="21"/>
          <w:lang w:eastAsia="zh-CN"/>
        </w:rPr>
        <w:t>，并通知基金管理人；</w:t>
      </w:r>
    </w:p>
    <w:p w14:paraId="399A3FA1">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（19）因违反《基金合同》导致基金财产损失时，应承担赔偿责任，其赔偿责任不因其退任而免除；</w:t>
      </w:r>
    </w:p>
    <w:p w14:paraId="6D87E7F7">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（20）按规定监督基金管理人按法律法规和《基金合同》规定履行自己的义务，基金管理人因违反《基金合同》造成基金财产损失时，应为基金份额持有人利益向基金管理人追偿；</w:t>
      </w:r>
    </w:p>
    <w:p w14:paraId="11DADED4">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（21）执行生效的基金份额持有人大会的决议；</w:t>
      </w:r>
    </w:p>
    <w:p w14:paraId="14A3144E">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（22）法律法规及中国证监会规定的和《基金合同》约定的其他义务。</w:t>
      </w:r>
    </w:p>
    <w:p w14:paraId="4F4EAB0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三、基金份额持有人</w:t>
      </w:r>
      <w:bookmarkEnd w:id="187"/>
    </w:p>
    <w:p w14:paraId="180442AD">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基金投资者持有本基金</w:t>
      </w:r>
      <w:bookmarkStart w:id="188" w:name="_Hlt88899909"/>
      <w:bookmarkEnd w:id="188"/>
      <w:r>
        <w:rPr>
          <w:rFonts w:ascii="Times New Roman" w:cs="Times New Roman" w:hAnsi="Times New Roman"/>
          <w:b/>
          <w:bCs/>
          <w:szCs w:val="21"/>
          <w:lang w:eastAsia="zh-CN"/>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767EA87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每份基金份额具有同等的合法权益。</w:t>
      </w:r>
    </w:p>
    <w:p w14:paraId="74127B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1、根据《基金法》、《运作办法》及其他有关规定，基金份额持有人的权利包括但不限于：</w:t>
      </w:r>
    </w:p>
    <w:p w14:paraId="04142C7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（1）分享基金财产收益；</w:t>
      </w:r>
    </w:p>
    <w:p w14:paraId="14FA2D7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（2）参与分配清算后的剩余基金财产；</w:t>
      </w:r>
      <w:bookmarkStart w:id="189" w:name="_Hlt88825574"/>
      <w:bookmarkEnd w:id="189"/>
    </w:p>
    <w:p w14:paraId="5CAFFBF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（3）依法转让或者申请赎回其持有的基金份额；</w:t>
      </w:r>
    </w:p>
    <w:p w14:paraId="6661E74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（4）按照规定要求召开基金份额持有人大会或者召集基金份额持有人大会；</w:t>
      </w:r>
    </w:p>
    <w:p w14:paraId="54F18F1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（5）出席或者委派代表出席基金份额持有人大会，对基金份额持有人大会审议事项行使表决权；</w:t>
      </w:r>
    </w:p>
    <w:p w14:paraId="520C37F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（6）查阅或者复制公开披露的基金信息资料；</w:t>
      </w:r>
    </w:p>
    <w:p w14:paraId="39CB85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（7）监督基金管理人的投资运作；</w:t>
      </w:r>
    </w:p>
    <w:p w14:paraId="4FCC5A2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（8）对基金管理人、基金托管人、基金服务机构损害其合法权益的行为依法提起诉讼或仲裁；</w:t>
      </w:r>
    </w:p>
    <w:p w14:paraId="6DAAA8C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（9）法律法规及中国证监会规定的和《基金合同》约定的其他权利。</w:t>
      </w:r>
    </w:p>
    <w:p w14:paraId="4719159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2、根据《基金法》、《运作办法》及其他有关规定，基金份额持有人的义务包括但不限于：</w:t>
      </w:r>
    </w:p>
    <w:p w14:paraId="285DDFC1">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（1）认真阅读并遵守《基金合同》、招募说明书等信息披露文件；</w:t>
      </w:r>
    </w:p>
    <w:p w14:paraId="345DB4CC">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（2）了解所投资基金产品，了解自身风险承受能力，自主判断基金的投资价值，自主做出投资决策，自行承担投资风险；</w:t>
      </w:r>
    </w:p>
    <w:p w14:paraId="09EDCD1B">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（3）关注基金信息披露，及时行使权利和履行义务；</w:t>
      </w:r>
    </w:p>
    <w:p w14:paraId="02E233D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（4）根据法律法规及证券交易所相关规定进行认购、申购，并及时履行因认购、申购导致的股份减持所涉及的信息披露等义务；</w:t>
      </w:r>
    </w:p>
    <w:p w14:paraId="3AEC81D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w:t>
      </w:r>
      <w:r>
        <w:rPr>
          <w:rFonts w:ascii="Times New Roman" w:cs="Times New Roman" w:hAnsi="Times New Roman"/>
          <w:szCs w:val="21"/>
          <w:lang w:eastAsia="zh-CN"/>
        </w:rPr>
        <w:t>交纳基金认购</w:t>
      </w:r>
      <w:r>
        <w:rPr>
          <w:rFonts w:ascii="Times New Roman" w:cs="Times New Roman" w:hAnsi="Times New Roman"/>
          <w:bCs/>
          <w:szCs w:val="21"/>
          <w:lang w:eastAsia="zh-CN"/>
        </w:rPr>
        <w:t>、申购对价及法律法规和</w:t>
      </w:r>
      <w:r>
        <w:rPr>
          <w:rFonts w:ascii="Times New Roman" w:cs="Times New Roman" w:hAnsi="Times New Roman"/>
          <w:szCs w:val="21"/>
          <w:lang w:eastAsia="zh-CN"/>
        </w:rPr>
        <w:t>《基金合同》所规定的费用</w:t>
      </w:r>
      <w:r>
        <w:rPr>
          <w:rFonts w:ascii="Times New Roman" w:cs="Times New Roman" w:hAnsi="Times New Roman"/>
          <w:bCs/>
          <w:szCs w:val="21"/>
          <w:lang w:eastAsia="zh-CN"/>
        </w:rPr>
        <w:t>；</w:t>
      </w:r>
    </w:p>
    <w:p w14:paraId="1E3D3BA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（6）在其持有的基金份额范围内，承担基金亏损或者《基金合同》终止的有限责任；</w:t>
      </w:r>
    </w:p>
    <w:p w14:paraId="2E25F8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（7）不从事任何有损基金及其他《基金合同》当事人合法权益的活动；</w:t>
      </w:r>
    </w:p>
    <w:p w14:paraId="01AA76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（8）执行生效的基金份额持有人大会的决议；</w:t>
      </w:r>
    </w:p>
    <w:p w14:paraId="039D3D8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（9）返还在基金交易过程中因任何原因获得的不当得利；</w:t>
      </w:r>
    </w:p>
    <w:p w14:paraId="424EBC8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（10）遵守基金管理人、基金托管人、销售机构和登记机构的相关交易及业务规则；</w:t>
      </w:r>
    </w:p>
    <w:p w14:paraId="61A2D53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（11）提供基金管理人和监管机构依法要求提供的信息，以及不时地更新和补充，并保证其真实性；</w:t>
      </w:r>
    </w:p>
    <w:p w14:paraId="3EDA24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（12）法律法规及中国证监会规定的和《基金合同》约定的其他义务。</w:t>
      </w:r>
    </w:p>
    <w:bookmarkEnd w:id="178"/>
    <w:p w14:paraId="51C392EF">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190" w:name="_Toc18567"/>
      <w:bookmarkStart w:id="191" w:name="_Toc100246524"/>
      <w:bookmarkStart w:id="192" w:name="_Toc7058"/>
      <w:bookmarkStart w:id="193" w:name="_Toc11159932"/>
      <w:bookmarkStart w:id="194" w:name="_Toc3771"/>
      <w:bookmarkStart w:id="195" w:name="_Toc79392583"/>
      <w:bookmarkStart w:id="196" w:name="_Toc123112236"/>
      <w:bookmarkStart w:id="197" w:name="_Toc57364978"/>
      <w:bookmarkStart w:id="198" w:name="_Toc9706"/>
      <w:bookmarkStart w:id="199" w:name="_Toc11030"/>
      <w:bookmarkStart w:id="200" w:name="_Toc4559"/>
      <w:bookmarkStart w:id="201" w:name="_Toc3321"/>
      <w:bookmarkStart w:id="202" w:name="_Toc6447"/>
      <w:bookmarkStart w:id="203" w:name="_Toc25783"/>
      <w:bookmarkStart w:id="204" w:name="_Toc98560354"/>
      <w:bookmarkStart w:id="205" w:name="_Toc123051454"/>
      <w:bookmarkStart w:id="206" w:name="_Toc141703888"/>
      <w:bookmarkStart w:id="207" w:name="_Toc20768"/>
      <w:bookmarkStart w:id="208" w:name="_Toc14078726"/>
      <w:bookmarkStart w:id="209" w:name="_Toc139991738"/>
      <w:bookmarkStart w:id="210" w:name="_Toc10650"/>
      <w:bookmarkStart w:id="211" w:name="_Toc123102455"/>
      <w:r>
        <w:rPr>
          <w:rFonts w:ascii="Times New Roman" w:cs="Times New Roman" w:hAnsi="Times New Roman"/>
          <w:color w:val="auto"/>
          <w:sz w:val="21"/>
          <w:szCs w:val="21"/>
          <w:lang w:eastAsia="zh-CN"/>
        </w:rPr>
        <w:t>第九部分  基金份额持有人大会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56E8C452">
      <w:pPr>
        <w:tabs>
          <w:tab w:pos="1080" w:val="left"/>
        </w:tabs>
        <w:spacing w:after="0" w:line="360" w:lineRule="auto"/>
        <w:ind w:hanging="575" w:left="993"/>
        <w:rPr>
          <w:rFonts w:ascii="Times New Roman" w:cs="Times New Roman" w:hAnsi="Times New Roman"/>
          <w:bCs/>
          <w:szCs w:val="21"/>
          <w:lang w:eastAsia="zh-CN"/>
        </w:rPr>
      </w:pPr>
    </w:p>
    <w:p w14:paraId="3AC07467">
      <w:pPr>
        <w:spacing w:after="0" w:line="360" w:lineRule="auto"/>
        <w:ind w:firstLine="420"/>
        <w:rPr>
          <w:rFonts w:ascii="Times New Roman" w:cs="Times New Roman" w:hAnsi="Times New Roman"/>
          <w:bCs/>
          <w:szCs w:val="21"/>
          <w:lang w:eastAsia="zh-CN"/>
        </w:rPr>
      </w:pPr>
      <w:bookmarkStart w:id="212" w:name="_Hlk149132222"/>
      <w:r>
        <w:rPr>
          <w:rFonts w:ascii="Times New Roman" w:cs="Times New Roman" w:hAnsi="Times New Roman"/>
          <w:bCs/>
          <w:szCs w:val="21"/>
          <w:lang w:eastAsia="zh-CN"/>
        </w:rPr>
        <w:t>基金份额持有人大会由基金份额持有人组成，基金份额持有人的合法授权代表有权代表基金份额持有人出席会议并表决。基金份额持有人持有的每一基金份额拥有平等的投票权。</w:t>
      </w:r>
    </w:p>
    <w:p w14:paraId="043E5B8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若以本基金为目标基金且基金管理人和基金托管人与本基金相同的联接基金的基金合同生效，鉴于本基金和联接基金的相关性，本基金联接基金的基金份额持有人可以凭所持有的联接基金的基金份额</w:t>
      </w:r>
      <w:r>
        <w:rPr>
          <w:rFonts w:ascii="Times New Roman" w:cs="Times New Roman" w:hAnsi="Times New Roman" w:hint="eastAsia"/>
          <w:bCs/>
          <w:szCs w:val="21"/>
          <w:lang w:eastAsia="zh-CN"/>
        </w:rPr>
        <w:t>行使目标ETF持有人大会的召集权、</w:t>
      </w:r>
      <w:r>
        <w:rPr>
          <w:rFonts w:ascii="Times New Roman" w:cs="Times New Roman" w:hAnsi="Times New Roman"/>
          <w:bCs/>
          <w:szCs w:val="21"/>
          <w:lang w:eastAsia="zh-CN"/>
        </w:rPr>
        <w:t>直接出席或者委派代表出席本基金的基金份额持有人大会并参与表决。在计算参会份额和计票时，联接基金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w:t>
      </w:r>
    </w:p>
    <w:p w14:paraId="67490D4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本基金召开基金份额持有人大会，本基金联接基金的基金份额持有人有权亲自出席/出具表决意见或以代理投票授权委托书委派代表出席/出具表决意见，并有权按照所持有的联接基金基金份额对应的本基金份额参与投票表决。</w:t>
      </w:r>
    </w:p>
    <w:p w14:paraId="7890079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14:paraId="4880ADD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14:paraId="0B99AD3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本基金份额持有人大会不设立日常机构。</w:t>
      </w:r>
    </w:p>
    <w:p w14:paraId="21968227">
      <w:pPr>
        <w:spacing w:after="0" w:line="360" w:lineRule="auto"/>
        <w:ind w:firstLine="420"/>
        <w:rPr>
          <w:rFonts w:ascii="Times New Roman" w:cs="Times New Roman" w:hAnsi="Times New Roman"/>
          <w:bCs/>
          <w:szCs w:val="21"/>
          <w:lang w:eastAsia="zh-CN"/>
        </w:rPr>
      </w:pPr>
      <w:bookmarkStart w:id="213" w:name="_Toc79392584"/>
      <w:bookmarkStart w:id="214" w:name="_Toc15641220"/>
      <w:bookmarkStart w:id="215" w:name="_Toc57530243"/>
      <w:r>
        <w:rPr>
          <w:rFonts w:ascii="Times New Roman" w:cs="Times New Roman" w:hAnsi="Times New Roman"/>
          <w:bCs/>
          <w:szCs w:val="21"/>
          <w:lang w:eastAsia="zh-CN"/>
        </w:rPr>
        <w:t>一、召开事由</w:t>
      </w:r>
      <w:bookmarkEnd w:id="213"/>
      <w:bookmarkEnd w:id="214"/>
      <w:bookmarkEnd w:id="215"/>
    </w:p>
    <w:p w14:paraId="260BD8F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1、当出现或需要决定下列事由之一的，应当召开基金份额持有人大会，法律法规和中国证监会另有规定或基金合同另有约定的除外：</w:t>
      </w:r>
    </w:p>
    <w:p w14:paraId="2F8FBB40">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（1）终止《基金合同》；</w:t>
      </w:r>
    </w:p>
    <w:p w14:paraId="380F4437">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（2）更换基金管理人；</w:t>
      </w:r>
    </w:p>
    <w:p w14:paraId="3CB8D423">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（3）更换基金托管人；</w:t>
      </w:r>
    </w:p>
    <w:p w14:paraId="19AF1A9C">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（4）转换基金运作方式；</w:t>
      </w:r>
    </w:p>
    <w:p w14:paraId="6D9C889E">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（5）</w:t>
      </w:r>
      <w:r>
        <w:rPr>
          <w:rFonts w:ascii="Times New Roman" w:cs="Times New Roman" w:hAnsi="Times New Roman" w:hint="eastAsia"/>
          <w:bCs/>
          <w:szCs w:val="21"/>
          <w:lang w:eastAsia="zh-CN"/>
        </w:rPr>
        <w:t>调整</w:t>
      </w:r>
      <w:r>
        <w:rPr>
          <w:rFonts w:ascii="Times New Roman" w:cs="Times New Roman" w:hAnsi="Times New Roman"/>
          <w:bCs/>
          <w:szCs w:val="21"/>
          <w:lang w:eastAsia="zh-CN"/>
        </w:rPr>
        <w:t>基金管理人、基金托管人的报酬标准；</w:t>
      </w:r>
    </w:p>
    <w:p w14:paraId="29320D36">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（6）变更基金类别；</w:t>
      </w:r>
    </w:p>
    <w:p w14:paraId="0031952E">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（7）本基金与其他基金的合并；</w:t>
      </w:r>
    </w:p>
    <w:p w14:paraId="0934C0E8">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（8）变更基金投资目标、范围或策略；</w:t>
      </w:r>
    </w:p>
    <w:p w14:paraId="47D94ACA">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（9）变更基金份额持有人大会程序；</w:t>
      </w:r>
    </w:p>
    <w:p w14:paraId="76170CAC">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（10）基金管理人或基金托管人要求召开基金份额持有人大会；</w:t>
      </w:r>
    </w:p>
    <w:p w14:paraId="6D4E2994">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（11）单独或合计持有本基金总份额10%以上（含10%）基金份额的基金份额持有人（以基金管理人收到提议当日的基金份额计算，下同）就同一事项书面要求召开基金份额持有人大会；</w:t>
      </w:r>
    </w:p>
    <w:p w14:paraId="6A9DFFC9">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（12）对基金合同当事人权利和义务产生重大影响的其他事项；</w:t>
      </w:r>
    </w:p>
    <w:p w14:paraId="4A6AA6F3">
      <w:pPr>
        <w:spacing w:after="0" w:line="440" w:lineRule="atLeast"/>
        <w:ind w:firstLine="420"/>
        <w:rPr>
          <w:rFonts w:ascii="Times New Roman" w:cs="Times New Roman" w:hAnsi="Times New Roman"/>
          <w:bCs/>
          <w:szCs w:val="21"/>
          <w:lang w:eastAsia="zh-CN"/>
        </w:rPr>
      </w:pPr>
      <w:r>
        <w:rPr>
          <w:rFonts w:ascii="Times New Roman" w:cs="Times New Roman" w:hAnsi="Times New Roman"/>
          <w:bCs/>
          <w:szCs w:val="21"/>
          <w:lang w:eastAsia="zh-CN"/>
        </w:rPr>
        <w:t>（13）法律法规、《基金合同》或中国证监会规定的其他应当召开基金份额持有人大会的事项。</w:t>
      </w:r>
    </w:p>
    <w:p w14:paraId="7893857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w:t>
      </w:r>
      <w:r>
        <w:rPr>
          <w:rFonts w:ascii="Times New Roman" w:cs="Times New Roman" w:hAnsi="Times New Roman"/>
          <w:szCs w:val="21"/>
          <w:lang w:eastAsia="zh-CN"/>
        </w:rPr>
        <w:t>在法律法规规定和《基金合同》约定的范围内且对基金份额持有人利益无实质性不利影响的前提下，以下情况可由基金管理人和基金托管人协商后修改，不需召开基金份额持有人大会：</w:t>
      </w:r>
    </w:p>
    <w:p w14:paraId="4E73906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（1）法律法规要求增加的基金费用的收取；</w:t>
      </w:r>
    </w:p>
    <w:p w14:paraId="427884F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（2）在法律法规和《基金合同》规定的范围内调整本基金的申购费率或调整收费方式；</w:t>
      </w:r>
    </w:p>
    <w:p w14:paraId="249273C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（3）增加、减少、调整基金份额类别设置；</w:t>
      </w:r>
    </w:p>
    <w:p w14:paraId="2170E7B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（4）调整基金的申购赎回方式及申购对价、赎回对价组成，调整申购赎回清单的内容；</w:t>
      </w:r>
    </w:p>
    <w:p w14:paraId="037667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（5）调整基金份额净值、申购赎回清单的计算和公告时间或频率；</w:t>
      </w:r>
    </w:p>
    <w:p w14:paraId="7078AA7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（6）募集并管理以本基金为目标 ETF 的一只或多只联接基金、本基金的联接基金采取特殊申购或其他方式参与本基金的申购赎回；</w:t>
      </w:r>
    </w:p>
    <w:p w14:paraId="602F86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（7）基金管理人、证券交易所、登记机构、销售机构调整有关基金认购、申购、赎回、交易、收益分配、非交易过户、转托管等业务的规则；</w:t>
      </w:r>
    </w:p>
    <w:p w14:paraId="1A52059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（8）经履行适当程序，基金推出新业务或服务；</w:t>
      </w:r>
    </w:p>
    <w:p w14:paraId="57AE2D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（9）基金在其他证券交易所上市、开通场外申购赎回或其他申购赎回模式等业务；</w:t>
      </w:r>
    </w:p>
    <w:p w14:paraId="5023D6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（10）因相应的法律法规、</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证券交易所或者登记结算机构的相关业务规则发生变动而应当对《基金合同》进行修改；</w:t>
      </w:r>
    </w:p>
    <w:p w14:paraId="09F8298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（11）对《基金合同》的修改对基金份额持有人利益无实质性不利影响或修改不涉及《基金合同》当事人权利义务关系发生重大变化；</w:t>
      </w:r>
    </w:p>
    <w:p w14:paraId="105E9A3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（12）按照法律法规和《基金合同》规定不需召开基金份额持有人大会的其他情形。</w:t>
      </w:r>
    </w:p>
    <w:p w14:paraId="184F9005">
      <w:pPr>
        <w:spacing w:after="0" w:line="360" w:lineRule="auto"/>
        <w:ind w:firstLine="420"/>
        <w:rPr>
          <w:rFonts w:ascii="Times New Roman" w:cs="Times New Roman" w:hAnsi="Times New Roman"/>
          <w:bCs/>
          <w:szCs w:val="21"/>
          <w:lang w:eastAsia="zh-CN"/>
        </w:rPr>
      </w:pPr>
      <w:bookmarkStart w:id="216" w:name="_Toc15641221"/>
      <w:bookmarkStart w:id="217" w:name="_Toc79392585"/>
      <w:bookmarkStart w:id="218" w:name="_Toc57530244"/>
      <w:r>
        <w:rPr>
          <w:rFonts w:ascii="Times New Roman" w:cs="Times New Roman" w:hAnsi="Times New Roman"/>
          <w:bCs/>
          <w:szCs w:val="21"/>
          <w:lang w:eastAsia="zh-CN"/>
        </w:rPr>
        <w:t>二、会议召集人及召集方式</w:t>
      </w:r>
      <w:bookmarkEnd w:id="216"/>
      <w:bookmarkEnd w:id="217"/>
      <w:bookmarkEnd w:id="218"/>
    </w:p>
    <w:p w14:paraId="3F54C757">
      <w:pPr>
        <w:spacing w:after="0" w:line="360" w:lineRule="auto"/>
        <w:ind w:firstLine="420"/>
        <w:rPr>
          <w:rFonts w:ascii="Times New Roman" w:cs="Times New Roman" w:hAnsi="Times New Roman"/>
          <w:bCs/>
          <w:szCs w:val="21"/>
          <w:lang w:eastAsia="zh-CN"/>
        </w:rPr>
      </w:pPr>
      <w:bookmarkStart w:id="219" w:name="_Toc15641222"/>
      <w:bookmarkStart w:id="220" w:name="_Toc57530245"/>
      <w:r>
        <w:rPr>
          <w:rFonts w:ascii="Times New Roman" w:cs="Times New Roman" w:hAnsi="Times New Roman"/>
          <w:bCs/>
          <w:szCs w:val="21"/>
          <w:lang w:eastAsia="zh-CN"/>
        </w:rPr>
        <w:t>1、除法律法规规定或《基金合同》另有约定外，基金份额持有人大会由基金管理人召集。</w:t>
      </w:r>
    </w:p>
    <w:p w14:paraId="32701EE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2、基金管理人未按规定召集或不能召集时，由基金托管人召集。</w:t>
      </w:r>
    </w:p>
    <w:p w14:paraId="125F97D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3、基金托管人认为有必要召开基金份额持有人大会的，应当向基金管理人提出书面提议。基金管理人应当自收到书面提议之日起 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78518F0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6BE859D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4BCBF27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6、基金份额持有人会议的召集人负责选择确定开会时间、地点、方式和权益登记日。</w:t>
      </w:r>
    </w:p>
    <w:p w14:paraId="6A2172DB">
      <w:pPr>
        <w:spacing w:after="0" w:line="360" w:lineRule="auto"/>
        <w:ind w:firstLine="420"/>
        <w:rPr>
          <w:rFonts w:ascii="Times New Roman" w:cs="Times New Roman" w:hAnsi="Times New Roman"/>
          <w:bCs/>
          <w:szCs w:val="21"/>
          <w:lang w:eastAsia="zh-CN"/>
        </w:rPr>
      </w:pPr>
      <w:bookmarkStart w:id="221" w:name="_Toc79392586"/>
      <w:r>
        <w:rPr>
          <w:rFonts w:ascii="Times New Roman" w:cs="Times New Roman" w:hAnsi="Times New Roman"/>
          <w:bCs/>
          <w:szCs w:val="21"/>
          <w:lang w:eastAsia="zh-CN"/>
        </w:rPr>
        <w:t>三、召开基金份额持有人大会的通知时间、通知内容、通知方式</w:t>
      </w:r>
      <w:bookmarkEnd w:id="219"/>
      <w:bookmarkEnd w:id="220"/>
      <w:bookmarkEnd w:id="221"/>
    </w:p>
    <w:p w14:paraId="20401B2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1、召开基金份额持有人大会，召集人应于会议召开前30日，在规定媒介公告。基金份额持有人大会通知应至少载明以下内容：</w:t>
      </w:r>
    </w:p>
    <w:p w14:paraId="565F11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（1）会议召开的时间、地点和会议形式；</w:t>
      </w:r>
    </w:p>
    <w:p w14:paraId="1839818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（2）会议拟审议的事项、议事程序和表决方式；</w:t>
      </w:r>
    </w:p>
    <w:p w14:paraId="712B763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（3）有权出席基金份额持有人大会的基金份额持有人的权益登记日；</w:t>
      </w:r>
    </w:p>
    <w:p w14:paraId="2B62986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（4）授权委托证明的内容要求（包括但不限于代理人身份，代理权限和代理有效期限等）、送达时间和地点；</w:t>
      </w:r>
    </w:p>
    <w:p w14:paraId="007CCC3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（5）会务常设联系人姓名及联系电话；</w:t>
      </w:r>
    </w:p>
    <w:p w14:paraId="4EB3CB1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（6）出席会议者必须准备的文件和必须履行的手续；</w:t>
      </w:r>
    </w:p>
    <w:p w14:paraId="62836BD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（7）召集人需要通知的其他事项。</w:t>
      </w:r>
    </w:p>
    <w:p w14:paraId="66CD737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72D3A44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C52F26B">
      <w:pPr>
        <w:spacing w:after="0" w:line="360" w:lineRule="auto"/>
        <w:ind w:firstLine="420"/>
        <w:rPr>
          <w:rFonts w:ascii="Times New Roman" w:cs="Times New Roman" w:hAnsi="Times New Roman"/>
          <w:bCs/>
          <w:szCs w:val="21"/>
          <w:lang w:eastAsia="zh-CN"/>
        </w:rPr>
      </w:pPr>
      <w:bookmarkStart w:id="222" w:name="_Toc57530246"/>
      <w:bookmarkStart w:id="223" w:name="_Toc15641223"/>
      <w:bookmarkStart w:id="224" w:name="_Toc79392587"/>
      <w:r>
        <w:rPr>
          <w:rFonts w:ascii="Times New Roman" w:cs="Times New Roman" w:hAnsi="Times New Roman"/>
          <w:bCs/>
          <w:szCs w:val="21"/>
          <w:lang w:eastAsia="zh-CN"/>
        </w:rPr>
        <w:t>四、基金份额持有人出席会议的方式</w:t>
      </w:r>
      <w:bookmarkEnd w:id="222"/>
      <w:bookmarkEnd w:id="223"/>
      <w:bookmarkEnd w:id="224"/>
    </w:p>
    <w:p w14:paraId="552AC1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基金份额持有人大会可通过现场开会方式、通讯开会方式</w:t>
      </w:r>
      <w:r>
        <w:rPr>
          <w:rFonts w:ascii="Times New Roman" w:cs="Times New Roman" w:hAnsi="Times New Roman"/>
          <w:szCs w:val="21"/>
          <w:lang w:eastAsia="zh-CN"/>
        </w:rPr>
        <w:t>或法律法规、监管机构允许的其他方式</w:t>
      </w:r>
      <w:r>
        <w:rPr>
          <w:rFonts w:ascii="Times New Roman" w:cs="Times New Roman" w:hAnsi="Times New Roman"/>
          <w:bCs/>
          <w:szCs w:val="21"/>
          <w:lang w:eastAsia="zh-CN"/>
        </w:rPr>
        <w:t>召开，会议的召开方式由会议召集人确定。</w:t>
      </w:r>
    </w:p>
    <w:p w14:paraId="6452C6E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6A66DF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9D50D2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（2）经核对，汇总到会者出示的在权益登记日持有基金份额的凭证显示，有效的基金份额不少于本基金在权益登记日基金总份额的</w:t>
      </w:r>
      <w:r>
        <w:rPr>
          <w:rFonts w:ascii="Times New Roman" w:cs="Times New Roman" w:hAnsi="Times New Roman"/>
          <w:szCs w:val="21"/>
          <w:lang w:eastAsia="zh-CN"/>
        </w:rPr>
        <w:t>二分之一（含二分之一）</w:t>
      </w:r>
      <w:r>
        <w:rPr>
          <w:rFonts w:ascii="Times New Roman" w:cs="Times New Roman" w:hAnsi="Times New Roman"/>
          <w:bCs/>
          <w:szCs w:val="21"/>
          <w:lang w:eastAsia="zh-CN"/>
        </w:rPr>
        <w:t>。若到会者在权益登记日代表的有效的基金份额少于本基金在权益登记日基金总份额的</w:t>
      </w:r>
      <w:r>
        <w:rPr>
          <w:rFonts w:ascii="Times New Roman" w:cs="Times New Roman" w:hAnsi="Times New Roman"/>
          <w:szCs w:val="21"/>
          <w:lang w:eastAsia="zh-CN"/>
        </w:rPr>
        <w:t>二分之一</w:t>
      </w:r>
      <w:r>
        <w:rPr>
          <w:rFonts w:ascii="Times New Roman" w:cs="Times New Roman" w:hAnsi="Times New Roman"/>
          <w:bCs/>
          <w:szCs w:val="21"/>
          <w:lang w:eastAsia="zh-CN"/>
        </w:rPr>
        <w:t>，召集人可以在原公告的基金份额持有人大会召开时间的</w:t>
      </w:r>
      <w:r>
        <w:rPr>
          <w:rFonts w:ascii="Times New Roman" w:cs="Times New Roman" w:hAnsi="Times New Roman"/>
          <w:szCs w:val="21"/>
          <w:lang w:eastAsia="zh-CN"/>
        </w:rPr>
        <w:t>3个月以后、6个月以内</w:t>
      </w:r>
      <w:r>
        <w:rPr>
          <w:rFonts w:ascii="Times New Roman" w:cs="Times New Roman" w:hAnsi="Times New Roman"/>
          <w:bCs/>
          <w:szCs w:val="21"/>
          <w:lang w:eastAsia="zh-CN"/>
        </w:rPr>
        <w:t>，就原定审议事项重新召集基金份额持有人大会。重新召集的基金份额持有人大会到会者在权益登记日代表的有效的基金份额应不少于本基金在权益登记日基金总份额的</w:t>
      </w:r>
      <w:r>
        <w:rPr>
          <w:rFonts w:ascii="Times New Roman" w:cs="Times New Roman" w:hAnsi="Times New Roman"/>
          <w:szCs w:val="21"/>
          <w:lang w:eastAsia="zh-CN"/>
        </w:rPr>
        <w:t>三分之一（含三分之一）</w:t>
      </w:r>
      <w:r>
        <w:rPr>
          <w:rFonts w:ascii="Times New Roman" w:cs="Times New Roman" w:hAnsi="Times New Roman"/>
          <w:bCs/>
          <w:szCs w:val="21"/>
          <w:lang w:eastAsia="zh-CN"/>
        </w:rPr>
        <w:t>。</w:t>
      </w:r>
    </w:p>
    <w:p w14:paraId="0D6626A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2、通讯开会。通讯开会系指基金份额持有人将其对表决事项的投票以</w:t>
      </w:r>
      <w:r>
        <w:rPr>
          <w:rFonts w:ascii="Times New Roman" w:cs="Times New Roman" w:hAnsi="Times New Roman"/>
          <w:szCs w:val="21"/>
          <w:lang w:eastAsia="zh-CN"/>
        </w:rPr>
        <w:t>书面形式或会议通知约定的其他方式</w:t>
      </w:r>
      <w:r>
        <w:rPr>
          <w:rFonts w:ascii="Times New Roman" w:cs="Times New Roman" w:hAnsi="Times New Roman"/>
          <w:bCs/>
          <w:szCs w:val="21"/>
          <w:lang w:eastAsia="zh-CN"/>
        </w:rPr>
        <w:t>在表决截止日以前送达至召集人指定的地址。通讯开会应以</w:t>
      </w:r>
      <w:r>
        <w:rPr>
          <w:rFonts w:ascii="Times New Roman" w:cs="Times New Roman" w:hAnsi="Times New Roman"/>
          <w:szCs w:val="21"/>
          <w:lang w:eastAsia="zh-CN"/>
        </w:rPr>
        <w:t>书面方式或会议通知约定的其他方式</w:t>
      </w:r>
      <w:r>
        <w:rPr>
          <w:rFonts w:ascii="Times New Roman" w:cs="Times New Roman" w:hAnsi="Times New Roman"/>
          <w:bCs/>
          <w:szCs w:val="21"/>
          <w:lang w:eastAsia="zh-CN"/>
        </w:rPr>
        <w:t>进行表决。</w:t>
      </w:r>
    </w:p>
    <w:p w14:paraId="22E6735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在同时符合以下条件时，通讯开会的方式视为有效：</w:t>
      </w:r>
    </w:p>
    <w:p w14:paraId="7DE3CF2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（1）会议召集人按《基金合同》约定公布会议通知后，在2个工作日内连续公布相关提示性公告，法律法规和中国证监会另有规定的除外；</w:t>
      </w:r>
    </w:p>
    <w:p w14:paraId="278F29B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A4038CF">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（3）本人直接出具表决意见或授权他人代表出具表决意见的，基金份额持有人所持有的基金份额不小于在权益登记日基金总份额的</w:t>
      </w:r>
      <w:r>
        <w:rPr>
          <w:rFonts w:ascii="Times New Roman" w:cs="Times New Roman" w:hAnsi="Times New Roman"/>
          <w:szCs w:val="21"/>
          <w:lang w:eastAsia="zh-CN"/>
        </w:rPr>
        <w:t>二分之一（含二分之一）</w:t>
      </w:r>
      <w:r>
        <w:rPr>
          <w:rFonts w:ascii="Times New Roman" w:cs="Times New Roman" w:hAnsi="Times New Roman"/>
          <w:bCs/>
          <w:szCs w:val="21"/>
          <w:lang w:eastAsia="zh-CN"/>
        </w:rPr>
        <w:t>；若本人直接出具表决意见或授权他人代表出具表决意见的基金份额持有人所持有的基金份额小于在权益登记日基金总份额的</w:t>
      </w:r>
      <w:r>
        <w:rPr>
          <w:rFonts w:ascii="Times New Roman" w:cs="Times New Roman" w:hAnsi="Times New Roman"/>
          <w:szCs w:val="21"/>
          <w:lang w:eastAsia="zh-CN"/>
        </w:rPr>
        <w:t>二分之一</w:t>
      </w:r>
      <w:r>
        <w:rPr>
          <w:rFonts w:ascii="Times New Roman" w:cs="Times New Roman" w:hAnsi="Times New Roman"/>
          <w:bCs/>
          <w:szCs w:val="21"/>
          <w:lang w:eastAsia="zh-CN"/>
        </w:rPr>
        <w:t>，召集人可以在原公告的基金份额持有人大会召开时间的</w:t>
      </w:r>
      <w:r>
        <w:rPr>
          <w:rFonts w:ascii="Times New Roman" w:cs="Times New Roman" w:hAnsi="Times New Roman"/>
          <w:szCs w:val="21"/>
          <w:lang w:eastAsia="zh-CN"/>
        </w:rPr>
        <w:t>3个月以后、6个月以内</w:t>
      </w:r>
      <w:r>
        <w:rPr>
          <w:rFonts w:ascii="Times New Roman" w:cs="Times New Roman" w:hAnsi="Times New Roman"/>
          <w:bCs/>
          <w:szCs w:val="21"/>
          <w:lang w:eastAsia="zh-CN"/>
        </w:rPr>
        <w:t>，就原定审议事项重新召集基金份额持有人大会。重新召集的基金份额持有人大会应当有代表</w:t>
      </w:r>
      <w:r>
        <w:rPr>
          <w:rFonts w:ascii="Times New Roman" w:cs="Times New Roman" w:hAnsi="Times New Roman"/>
          <w:szCs w:val="21"/>
          <w:lang w:eastAsia="zh-CN"/>
        </w:rPr>
        <w:t>三分之一以上（含三分之一）</w:t>
      </w:r>
      <w:r>
        <w:rPr>
          <w:rFonts w:ascii="Times New Roman" w:cs="Times New Roman" w:hAnsi="Times New Roman"/>
          <w:bCs/>
          <w:szCs w:val="21"/>
          <w:lang w:eastAsia="zh-CN"/>
        </w:rPr>
        <w:t>基金份额的持有人直接出具表决意见或授权他人代表出具表决意见；</w:t>
      </w:r>
    </w:p>
    <w:p w14:paraId="4CD0232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7E28E93">
      <w:pPr>
        <w:spacing w:after="0" w:line="360" w:lineRule="auto"/>
        <w:ind w:firstLine="420"/>
        <w:rPr>
          <w:rFonts w:ascii="Times New Roman" w:cs="Times New Roman" w:hAnsi="Times New Roman"/>
          <w:bCs/>
          <w:szCs w:val="21"/>
          <w:lang w:eastAsia="zh-CN"/>
        </w:rPr>
      </w:pPr>
      <w:bookmarkStart w:id="225" w:name="_Toc79392588"/>
      <w:bookmarkStart w:id="226" w:name="_Toc15641224"/>
      <w:bookmarkStart w:id="227" w:name="_Toc57530247"/>
      <w:r>
        <w:rPr>
          <w:rFonts w:ascii="Times New Roman" w:cs="Times New Roman" w:hAnsi="Times New Roman"/>
          <w:bCs/>
          <w:szCs w:val="21"/>
          <w:lang w:eastAsia="zh-CN"/>
        </w:rPr>
        <w:t>3、在法律法规或监管机构允许的情况下，经会议通知载明，基金份额持有人也可以采用网络、电话或其他方式进行表决，或者采用网络、电话或其他方式授权他人代为出席会议并表决，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w:t>
      </w:r>
    </w:p>
    <w:p w14:paraId="798488B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五、议事内容与程序</w:t>
      </w:r>
      <w:bookmarkEnd w:id="225"/>
      <w:bookmarkEnd w:id="226"/>
      <w:bookmarkEnd w:id="227"/>
    </w:p>
    <w:p w14:paraId="6C7D190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1、议事内容及提案权</w:t>
      </w:r>
    </w:p>
    <w:p w14:paraId="1637532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637DDF0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基金份额持有人大会的召集人发出召集会议的通知后，对原有提案的修改应当在基金份额持有人大会召开前及时公告。</w:t>
      </w:r>
    </w:p>
    <w:p w14:paraId="6EE0E90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基金份额持有人大会不得对未事先公告的议事内容进行表决。</w:t>
      </w:r>
    </w:p>
    <w:p w14:paraId="455980B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2、议事程序</w:t>
      </w:r>
    </w:p>
    <w:p w14:paraId="15AB18F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（1）现场开会</w:t>
      </w:r>
    </w:p>
    <w:p w14:paraId="5FE874B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Times New Roman" w:cs="Times New Roman" w:hAnsi="Times New Roman"/>
          <w:szCs w:val="21"/>
          <w:lang w:eastAsia="zh-CN"/>
        </w:rPr>
        <w:t>50%以上（含50%）</w:t>
      </w:r>
      <w:r>
        <w:rPr>
          <w:rFonts w:ascii="Times New Roman" w:cs="Times New Roman" w:hAnsi="Times New Roman"/>
          <w:bCs/>
          <w:szCs w:val="21"/>
          <w:lang w:eastAsia="zh-CN"/>
        </w:rPr>
        <w:t>选举产生一名基金份额持有人作为该次基金份额持有人大会的主持人。基金管理人和基金托管人拒不出席或主持基金份额持有人大会，不影响基金份额持有人大会作出的决议的效力。</w:t>
      </w:r>
    </w:p>
    <w:p w14:paraId="73D2A64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会议召集人应当制作出席会议人员的签名册。签名册载明参加会议人员姓名（或单位名称）、身份证明文件号码、持有或代表有表决权的基金份额、委托人姓名（或单位名称）和联系方式等事项。</w:t>
      </w:r>
    </w:p>
    <w:p w14:paraId="734135F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（2）通讯开会</w:t>
      </w:r>
    </w:p>
    <w:p w14:paraId="27C179F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在通讯开会的情况下，首先由召集人提前</w:t>
      </w:r>
      <w:r>
        <w:rPr>
          <w:rFonts w:ascii="Times New Roman" w:cs="Times New Roman" w:hAnsi="Times New Roman"/>
          <w:szCs w:val="21"/>
          <w:lang w:eastAsia="zh-CN"/>
        </w:rPr>
        <w:t>30日</w:t>
      </w:r>
      <w:r>
        <w:rPr>
          <w:rFonts w:ascii="Times New Roman" w:cs="Times New Roman" w:hAnsi="Times New Roman"/>
          <w:bCs/>
          <w:szCs w:val="21"/>
          <w:lang w:eastAsia="zh-CN"/>
        </w:rPr>
        <w:t>公布提案，在所通知的表决截止日期后</w:t>
      </w:r>
      <w:r>
        <w:rPr>
          <w:rFonts w:ascii="Times New Roman" w:cs="Times New Roman" w:hAnsi="Times New Roman"/>
          <w:szCs w:val="21"/>
          <w:lang w:eastAsia="zh-CN"/>
        </w:rPr>
        <w:t>2个工作日</w:t>
      </w:r>
      <w:r>
        <w:rPr>
          <w:rFonts w:ascii="Times New Roman" w:cs="Times New Roman" w:hAnsi="Times New Roman"/>
          <w:bCs/>
          <w:szCs w:val="21"/>
          <w:lang w:eastAsia="zh-CN"/>
        </w:rPr>
        <w:t>内在公证机关监督下由召集人统计全部有效表决，在公证机关监督下形成决议。</w:t>
      </w:r>
    </w:p>
    <w:p w14:paraId="446FC13B">
      <w:pPr>
        <w:spacing w:after="0" w:line="360" w:lineRule="auto"/>
        <w:ind w:firstLine="420"/>
        <w:rPr>
          <w:rFonts w:ascii="Times New Roman" w:cs="Times New Roman" w:hAnsi="Times New Roman"/>
          <w:bCs/>
          <w:szCs w:val="21"/>
          <w:lang w:eastAsia="zh-CN"/>
        </w:rPr>
      </w:pPr>
      <w:bookmarkStart w:id="228" w:name="_Toc15641225"/>
      <w:bookmarkStart w:id="229" w:name="_Toc57530248"/>
      <w:bookmarkStart w:id="230" w:name="_Toc79392589"/>
      <w:r>
        <w:rPr>
          <w:rFonts w:ascii="Times New Roman" w:cs="Times New Roman" w:hAnsi="Times New Roman"/>
          <w:bCs/>
          <w:szCs w:val="21"/>
          <w:lang w:eastAsia="zh-CN"/>
        </w:rPr>
        <w:t>六、表决</w:t>
      </w:r>
      <w:bookmarkEnd w:id="228"/>
      <w:bookmarkEnd w:id="229"/>
      <w:bookmarkEnd w:id="230"/>
    </w:p>
    <w:p w14:paraId="0E54D47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基金份额持有人所持每份基金份额有一票表决权。</w:t>
      </w:r>
    </w:p>
    <w:p w14:paraId="6768BA5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基金份额持有人大会决议分为一般决议和特别决议：</w:t>
      </w:r>
    </w:p>
    <w:p w14:paraId="37C284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1、一般决议，一般决议须经参加大会的基金份额持有人或其代理人所持表决权的</w:t>
      </w:r>
      <w:r>
        <w:rPr>
          <w:rFonts w:ascii="Times New Roman" w:cs="Times New Roman" w:hAnsi="Times New Roman"/>
          <w:szCs w:val="21"/>
          <w:lang w:eastAsia="zh-CN"/>
        </w:rPr>
        <w:t>二分之一以上（含二分之一）</w:t>
      </w:r>
      <w:r>
        <w:rPr>
          <w:rFonts w:ascii="Times New Roman" w:cs="Times New Roman" w:hAnsi="Times New Roman"/>
          <w:bCs/>
          <w:szCs w:val="21"/>
          <w:lang w:eastAsia="zh-CN"/>
        </w:rPr>
        <w:t>通过方为有效；除下列第2项所规定的须以特别决议通过事项以外的其他事项均以一般决议的方式通过。</w:t>
      </w:r>
    </w:p>
    <w:p w14:paraId="3C6BF3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2、特别决议，特别决议应当经参加大会的基金份额持有人或其代理人所持表决权的</w:t>
      </w:r>
      <w:r>
        <w:rPr>
          <w:rFonts w:ascii="Times New Roman" w:cs="Times New Roman" w:hAnsi="Times New Roman"/>
          <w:szCs w:val="21"/>
          <w:lang w:eastAsia="zh-CN"/>
        </w:rPr>
        <w:t>三分之二以上（含三分之二）</w:t>
      </w:r>
      <w:r>
        <w:rPr>
          <w:rFonts w:ascii="Times New Roman" w:cs="Times New Roman" w:hAnsi="Times New Roman"/>
          <w:bCs/>
          <w:szCs w:val="21"/>
          <w:lang w:eastAsia="zh-CN"/>
        </w:rPr>
        <w:t>通过方可做出。除法律法规、监管机构另有规定或基金合同另有约定外，转换基金运作方式、更换基金管理人或者基金托管人、终止《基金合同》、</w:t>
      </w:r>
      <w:r>
        <w:rPr>
          <w:rFonts w:ascii="Times New Roman" w:cs="Times New Roman" w:hAnsi="Times New Roman"/>
          <w:szCs w:val="21"/>
          <w:lang w:eastAsia="zh-CN"/>
        </w:rPr>
        <w:t>本基金与其他基金合并</w:t>
      </w:r>
      <w:r>
        <w:rPr>
          <w:rFonts w:ascii="Times New Roman" w:cs="Times New Roman" w:hAnsi="Times New Roman"/>
          <w:bCs/>
          <w:szCs w:val="21"/>
          <w:lang w:eastAsia="zh-CN"/>
        </w:rPr>
        <w:t>以特别决议通过方为有效。</w:t>
      </w:r>
    </w:p>
    <w:p w14:paraId="1474B3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基金份额持有人大会采取记名方式进行投票表决。</w:t>
      </w:r>
    </w:p>
    <w:p w14:paraId="5C16050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3CC59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基金份额持有人大会的各项提案或同一项提案内并列的各项议题应当分开审议、逐项表决。</w:t>
      </w:r>
    </w:p>
    <w:p w14:paraId="61A1C3C4">
      <w:pPr>
        <w:spacing w:after="0" w:line="360" w:lineRule="auto"/>
        <w:ind w:firstLine="420"/>
        <w:rPr>
          <w:rFonts w:ascii="Times New Roman" w:cs="Times New Roman" w:hAnsi="Times New Roman"/>
          <w:bCs/>
          <w:szCs w:val="21"/>
          <w:lang w:eastAsia="zh-CN"/>
        </w:rPr>
      </w:pPr>
      <w:bookmarkStart w:id="231" w:name="_Toc15641226"/>
      <w:bookmarkStart w:id="232" w:name="_Toc79392590"/>
      <w:bookmarkStart w:id="233" w:name="_Toc57530249"/>
      <w:r>
        <w:rPr>
          <w:rFonts w:ascii="Times New Roman" w:cs="Times New Roman" w:hAnsi="Times New Roman"/>
          <w:bCs/>
          <w:szCs w:val="21"/>
          <w:lang w:eastAsia="zh-CN"/>
        </w:rPr>
        <w:t>七、计票</w:t>
      </w:r>
      <w:bookmarkEnd w:id="231"/>
      <w:bookmarkEnd w:id="232"/>
      <w:bookmarkEnd w:id="233"/>
    </w:p>
    <w:p w14:paraId="15E00FA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1、现场开会</w:t>
      </w:r>
    </w:p>
    <w:p w14:paraId="4FC5E85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66E330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（2）监票人应当在基金份额持有人表决后立即进行清点并由大会主持人当场公布计票结果。</w:t>
      </w:r>
    </w:p>
    <w:p w14:paraId="7CA992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10719F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（4）计票过程应由公证机关予以公证，基金管理人或基金托管人拒不出席大会的，不影响计票的效力。</w:t>
      </w:r>
    </w:p>
    <w:p w14:paraId="7210749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2、通讯开会</w:t>
      </w:r>
    </w:p>
    <w:p w14:paraId="7C56124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34" w:name="_Toc79392591"/>
      <w:bookmarkStart w:id="235" w:name="_Toc57530250"/>
      <w:bookmarkStart w:id="236" w:name="_Toc15641227"/>
      <w:r>
        <w:rPr>
          <w:rFonts w:ascii="Times New Roman" w:cs="Times New Roman" w:hAnsi="Times New Roman"/>
          <w:bCs/>
          <w:szCs w:val="21"/>
          <w:lang w:eastAsia="zh-CN"/>
        </w:rPr>
        <w:t>。基金管理人或基金托管人拒派代表对表决意见的计票进行监督的，不影响计票和表决结果。</w:t>
      </w:r>
    </w:p>
    <w:p w14:paraId="0D093CF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八、生效与公告</w:t>
      </w:r>
      <w:bookmarkEnd w:id="234"/>
      <w:bookmarkEnd w:id="235"/>
      <w:bookmarkEnd w:id="236"/>
    </w:p>
    <w:p w14:paraId="36738DB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基金份额持有人大会的决议，召集人应当自通过之日起5日内报中国证监会备案。</w:t>
      </w:r>
    </w:p>
    <w:p w14:paraId="0A11819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基金份额持有人大会的决议</w:t>
      </w:r>
      <w:r>
        <w:rPr>
          <w:rFonts w:ascii="Times New Roman" w:cs="Times New Roman" w:hAnsi="Times New Roman"/>
          <w:szCs w:val="21"/>
          <w:lang w:eastAsia="zh-CN"/>
        </w:rPr>
        <w:t>自表决通过之日起生效。</w:t>
      </w:r>
    </w:p>
    <w:p w14:paraId="5CA5A0A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基金份额持有人大会决议自生效之日起2日内按照法律法规和中国证监会相关规定的要求在规定媒介上公告。</w:t>
      </w:r>
      <w:bookmarkStart w:id="237" w:name="_Hlt88820702"/>
      <w:bookmarkEnd w:id="237"/>
    </w:p>
    <w:p w14:paraId="5911DB5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基金管理人、基金托管人和基金份额持有人应当执行生效的基金份额持有人大会的决议。生效的基金份额持有人大会决议对全体基金份额持有人、基金管理人、基金托管人均有约束力。</w:t>
      </w:r>
    </w:p>
    <w:p w14:paraId="1D19B324">
      <w:pPr>
        <w:spacing w:after="0" w:line="360" w:lineRule="auto"/>
        <w:ind w:firstLine="420"/>
        <w:jc w:val="left"/>
        <w:rPr>
          <w:rFonts w:ascii="Times New Roman" w:cs="Times New Roman" w:hAnsi="Times New Roman"/>
          <w:bCs/>
          <w:szCs w:val="21"/>
          <w:lang w:eastAsia="zh-CN"/>
        </w:rPr>
      </w:pPr>
      <w:bookmarkStart w:id="238" w:name="_Toc18769"/>
      <w:bookmarkStart w:id="239" w:name="_Toc3963"/>
      <w:bookmarkStart w:id="240" w:name="_Toc1745"/>
      <w:r>
        <w:rPr>
          <w:rFonts w:ascii="Times New Roman" w:cs="Times New Roman" w:hAnsi="Times New Roman"/>
          <w:bCs/>
          <w:szCs w:val="21"/>
          <w:lang w:eastAsia="zh-CN"/>
        </w:rPr>
        <w:t>九、本部分对基金份额持有人大会召开事由、召开条件、议事程序、表决条件等规定，凡是直接引用法律法规或监管规则的部分，如将来法律法规或监管规则修改导致相关内容被取消或变更的，基金管理人</w:t>
      </w:r>
      <w:r>
        <w:rPr>
          <w:rFonts w:ascii="Times New Roman" w:cs="Times New Roman" w:hAnsi="Times New Roman" w:hint="eastAsia"/>
          <w:bCs/>
          <w:szCs w:val="21"/>
          <w:lang w:eastAsia="zh-CN"/>
        </w:rPr>
        <w:t>经与基金托管人协商一致并</w:t>
      </w:r>
      <w:r>
        <w:rPr>
          <w:rFonts w:ascii="Times New Roman" w:cs="Times New Roman" w:hAnsi="Times New Roman"/>
          <w:bCs/>
          <w:szCs w:val="21"/>
          <w:lang w:eastAsia="zh-CN"/>
        </w:rPr>
        <w:t>提前公告后，可直接对本部分内容进行修改和调整，无需召开基金份额持有人大会审议。</w:t>
      </w:r>
    </w:p>
    <w:bookmarkEnd w:id="212"/>
    <w:p w14:paraId="7DFA2791">
      <w:pPr>
        <w:spacing w:after="0" w:line="360" w:lineRule="auto"/>
        <w:ind w:firstLine="420"/>
        <w:jc w:val="left"/>
        <w:rPr>
          <w:rFonts w:ascii="Times New Roman" w:cs="Times New Roman" w:hAnsi="Times New Roman"/>
          <w:szCs w:val="21"/>
          <w:lang w:eastAsia="zh-CN"/>
        </w:rPr>
      </w:pPr>
    </w:p>
    <w:p w14:paraId="00CCEE6D">
      <w:pPr>
        <w:pStyle w:val="Heading1"/>
        <w:spacing w:after="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241" w:name="_Toc725"/>
      <w:bookmarkStart w:id="242" w:name="_Toc123112237"/>
      <w:bookmarkStart w:id="243" w:name="_Toc18206"/>
      <w:bookmarkStart w:id="244" w:name="_Toc100246525"/>
      <w:bookmarkStart w:id="245" w:name="_Toc123051455"/>
      <w:bookmarkStart w:id="246" w:name="_Toc31821"/>
      <w:bookmarkStart w:id="247" w:name="_Toc21735"/>
      <w:bookmarkStart w:id="248" w:name="_Toc11159933"/>
      <w:bookmarkStart w:id="249" w:name="_Toc3572"/>
      <w:bookmarkStart w:id="250" w:name="_Toc10398"/>
      <w:bookmarkStart w:id="251" w:name="_Toc141703889"/>
      <w:bookmarkStart w:id="252" w:name="_Toc139991739"/>
      <w:bookmarkStart w:id="253" w:name="_Toc98560355"/>
      <w:bookmarkStart w:id="254" w:name="_Toc16164"/>
      <w:bookmarkStart w:id="255" w:name="_Toc123102456"/>
      <w:bookmarkStart w:id="256" w:name="_Toc57364979"/>
      <w:bookmarkStart w:id="257" w:name="_Toc14078727"/>
      <w:bookmarkStart w:id="258" w:name="_Toc3080"/>
      <w:r>
        <w:rPr>
          <w:rFonts w:ascii="Times New Roman" w:cs="Times New Roman" w:hAnsi="Times New Roman"/>
          <w:color w:val="auto"/>
          <w:sz w:val="21"/>
          <w:szCs w:val="21"/>
          <w:lang w:eastAsia="zh-CN"/>
        </w:rPr>
        <w:t>第十部分  基金管理人、基金托管人的更换条件和程序</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50E36BBE">
      <w:pPr>
        <w:spacing w:after="0" w:line="360" w:lineRule="auto"/>
        <w:rPr>
          <w:rFonts w:ascii="Times New Roman" w:cs="Times New Roman" w:hAnsi="Times New Roman"/>
          <w:bCs/>
          <w:szCs w:val="21"/>
          <w:lang w:eastAsia="zh-CN"/>
        </w:rPr>
      </w:pPr>
      <w:bookmarkStart w:id="259" w:name="_Toc15118245"/>
      <w:bookmarkStart w:id="260" w:name="_Toc57530252"/>
      <w:bookmarkStart w:id="261" w:name="_Toc79392593"/>
    </w:p>
    <w:p w14:paraId="3FA92EF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一、基金管理人和基金托管人职责终止的情形</w:t>
      </w:r>
      <w:bookmarkEnd w:id="259"/>
      <w:bookmarkEnd w:id="260"/>
      <w:bookmarkEnd w:id="261"/>
    </w:p>
    <w:p w14:paraId="587AAD77">
      <w:pPr>
        <w:spacing w:after="0" w:line="360" w:lineRule="auto"/>
        <w:ind w:firstLine="420"/>
        <w:rPr>
          <w:rFonts w:ascii="Times New Roman" w:cs="Times New Roman" w:hAnsi="Times New Roman"/>
          <w:bCs/>
          <w:szCs w:val="21"/>
          <w:lang w:eastAsia="zh-CN"/>
        </w:rPr>
      </w:pPr>
      <w:bookmarkStart w:id="262" w:name="_Toc22005971"/>
      <w:r>
        <w:rPr>
          <w:rFonts w:ascii="Times New Roman" w:cs="Times New Roman" w:hAnsi="Times New Roman"/>
          <w:bCs/>
          <w:szCs w:val="21"/>
          <w:lang w:eastAsia="zh-CN"/>
        </w:rPr>
        <w:t>（一）基金管理人职责终止的情形</w:t>
      </w:r>
      <w:bookmarkEnd w:id="262"/>
    </w:p>
    <w:p w14:paraId="755D86D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有下列情形之一的，基金管理人职责终止：</w:t>
      </w:r>
    </w:p>
    <w:p w14:paraId="200BEE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1、被依法取消基金管理资格；</w:t>
      </w:r>
    </w:p>
    <w:p w14:paraId="04C10E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2、被基金份额持有人大会解任；</w:t>
      </w:r>
    </w:p>
    <w:p w14:paraId="7D65B07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3、依法解散、被依法撤销或被依法宣告破产；</w:t>
      </w:r>
    </w:p>
    <w:p w14:paraId="412F014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4、法律法规及中国证监会规定的和《基金合同》约定的其他情形。</w:t>
      </w:r>
    </w:p>
    <w:p w14:paraId="435097A5">
      <w:pPr>
        <w:spacing w:after="0" w:line="360" w:lineRule="auto"/>
        <w:ind w:firstLine="420"/>
        <w:rPr>
          <w:rFonts w:ascii="Times New Roman" w:cs="Times New Roman" w:hAnsi="Times New Roman"/>
          <w:bCs/>
          <w:szCs w:val="21"/>
          <w:lang w:eastAsia="zh-CN"/>
        </w:rPr>
      </w:pPr>
      <w:bookmarkStart w:id="263" w:name="_Toc22005972"/>
      <w:r>
        <w:rPr>
          <w:rFonts w:ascii="Times New Roman" w:cs="Times New Roman" w:hAnsi="Times New Roman"/>
          <w:bCs/>
          <w:szCs w:val="21"/>
          <w:lang w:eastAsia="zh-CN"/>
        </w:rPr>
        <w:t>（二）基金托管人职责终止的情形</w:t>
      </w:r>
      <w:bookmarkEnd w:id="263"/>
    </w:p>
    <w:p w14:paraId="05D67E2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有下列情形之一的，基金托管人职责终止：</w:t>
      </w:r>
    </w:p>
    <w:p w14:paraId="10B205D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1、被依法取消基金托管资格；</w:t>
      </w:r>
    </w:p>
    <w:p w14:paraId="1895FB7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2、被基金份额持有人大会解任；</w:t>
      </w:r>
    </w:p>
    <w:p w14:paraId="4CDDDF1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3、依法解散、被依法撤销或被依法宣告破产；</w:t>
      </w:r>
    </w:p>
    <w:p w14:paraId="76C3AE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4、法律法规及中国证监会规定的和《基金合同》约定的其他情形。</w:t>
      </w:r>
    </w:p>
    <w:p w14:paraId="4C0EF7FB">
      <w:pPr>
        <w:spacing w:after="0" w:line="360" w:lineRule="auto"/>
        <w:ind w:firstLine="420"/>
        <w:rPr>
          <w:rFonts w:ascii="Times New Roman" w:cs="Times New Roman" w:hAnsi="Times New Roman"/>
          <w:bCs/>
          <w:szCs w:val="21"/>
          <w:lang w:eastAsia="zh-CN"/>
        </w:rPr>
      </w:pPr>
      <w:bookmarkStart w:id="264" w:name="_Toc15118246"/>
      <w:bookmarkStart w:id="265" w:name="_Toc57530253"/>
      <w:bookmarkStart w:id="266" w:name="_Toc79392594"/>
      <w:r>
        <w:rPr>
          <w:rFonts w:ascii="Times New Roman" w:cs="Times New Roman" w:hAnsi="Times New Roman"/>
          <w:bCs/>
          <w:szCs w:val="21"/>
          <w:lang w:eastAsia="zh-CN"/>
        </w:rPr>
        <w:t>二、基金管理人和基金托管人的更换程序</w:t>
      </w:r>
      <w:bookmarkEnd w:id="264"/>
      <w:bookmarkEnd w:id="265"/>
      <w:bookmarkEnd w:id="266"/>
    </w:p>
    <w:p w14:paraId="754C3983">
      <w:pPr>
        <w:spacing w:after="0" w:line="360" w:lineRule="auto"/>
        <w:ind w:firstLine="420"/>
        <w:rPr>
          <w:rFonts w:ascii="Times New Roman" w:cs="Times New Roman" w:hAnsi="Times New Roman"/>
          <w:bCs/>
          <w:szCs w:val="21"/>
          <w:lang w:eastAsia="zh-CN"/>
        </w:rPr>
      </w:pPr>
      <w:bookmarkStart w:id="267" w:name="_Toc22005974"/>
      <w:r>
        <w:rPr>
          <w:rFonts w:ascii="Times New Roman" w:cs="Times New Roman" w:hAnsi="Times New Roman"/>
          <w:bCs/>
          <w:szCs w:val="21"/>
          <w:lang w:eastAsia="zh-CN"/>
        </w:rPr>
        <w:t>（一）基金管理人的更换程序</w:t>
      </w:r>
      <w:bookmarkEnd w:id="267"/>
    </w:p>
    <w:p w14:paraId="084754E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1、提名：新任基金管理人由基金托管人或由单独或合计持有</w:t>
      </w:r>
      <w:r>
        <w:rPr>
          <w:rFonts w:ascii="Times New Roman" w:cs="Times New Roman" w:hAnsi="Times New Roman"/>
          <w:szCs w:val="21"/>
          <w:lang w:eastAsia="zh-CN"/>
        </w:rPr>
        <w:t>10%以上（含10%）</w:t>
      </w:r>
      <w:r>
        <w:rPr>
          <w:rFonts w:ascii="Times New Roman" w:cs="Times New Roman" w:hAnsi="Times New Roman"/>
          <w:bCs/>
          <w:szCs w:val="21"/>
          <w:lang w:eastAsia="zh-CN"/>
        </w:rPr>
        <w:t>基金份额的基金份额持有人提名；</w:t>
      </w:r>
    </w:p>
    <w:p w14:paraId="33919EC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2、决议：基金份额持有人大会在基金管理人职责终止后</w:t>
      </w:r>
      <w:r>
        <w:rPr>
          <w:rFonts w:ascii="Times New Roman" w:cs="Times New Roman" w:hAnsi="Times New Roman"/>
          <w:szCs w:val="21"/>
          <w:lang w:eastAsia="zh-CN"/>
        </w:rPr>
        <w:t>6个月内</w:t>
      </w:r>
      <w:r>
        <w:rPr>
          <w:rFonts w:ascii="Times New Roman" w:cs="Times New Roman" w:hAnsi="Times New Roman"/>
          <w:bCs/>
          <w:szCs w:val="21"/>
          <w:lang w:eastAsia="zh-CN"/>
        </w:rPr>
        <w:t>对被提名的基金管理人形成决议，该决议需经参加大会的基金份额持有人所持表决权的</w:t>
      </w:r>
      <w:r>
        <w:rPr>
          <w:rFonts w:ascii="Times New Roman" w:cs="Times New Roman" w:hAnsi="Times New Roman"/>
          <w:szCs w:val="21"/>
          <w:lang w:eastAsia="zh-CN"/>
        </w:rPr>
        <w:t>三分之二以上（含三分之二）</w:t>
      </w:r>
      <w:r>
        <w:rPr>
          <w:rFonts w:ascii="Times New Roman" w:cs="Times New Roman" w:hAnsi="Times New Roman"/>
          <w:bCs/>
          <w:szCs w:val="21"/>
          <w:lang w:eastAsia="zh-CN"/>
        </w:rPr>
        <w:t>表决通过，</w:t>
      </w:r>
      <w:r>
        <w:rPr>
          <w:rFonts w:ascii="Times New Roman" w:cs="Times New Roman" w:hAnsi="Times New Roman"/>
          <w:szCs w:val="21"/>
          <w:lang w:eastAsia="zh-CN"/>
        </w:rPr>
        <w:t>决议自表决通过之日起生效。新任基金管理人应当符合法律法规及中国证监会规定的资格条件；</w:t>
      </w:r>
    </w:p>
    <w:p w14:paraId="7485F9B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3、临时基金管理人：新任基金管理人产生之前，由中国证监会指定临时基金管理人；</w:t>
      </w:r>
    </w:p>
    <w:p w14:paraId="52CA844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w:t>
      </w:r>
      <w:r>
        <w:rPr>
          <w:rFonts w:ascii="Times New Roman" w:cs="Times New Roman" w:hAnsi="Times New Roman"/>
          <w:szCs w:val="21"/>
          <w:lang w:eastAsia="zh-CN"/>
        </w:rPr>
        <w:t>备案</w:t>
      </w:r>
      <w:r>
        <w:rPr>
          <w:rFonts w:ascii="Times New Roman" w:cs="Times New Roman" w:hAnsi="Times New Roman"/>
          <w:bCs/>
          <w:szCs w:val="21"/>
          <w:lang w:eastAsia="zh-CN"/>
        </w:rPr>
        <w:t>：基金份额持有人大会更换基金管理人的决议须报中国证监会备案；</w:t>
      </w:r>
    </w:p>
    <w:p w14:paraId="3E416FA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5、公告：基金管理人更换后，由基金托管人在</w:t>
      </w:r>
      <w:r>
        <w:rPr>
          <w:rFonts w:ascii="Times New Roman" w:cs="Times New Roman" w:hAnsi="Times New Roman"/>
          <w:szCs w:val="21"/>
          <w:lang w:eastAsia="zh-CN"/>
        </w:rPr>
        <w:t>更换基金管理人的基金份额持有人大会决议生效后2日内</w:t>
      </w:r>
      <w:r>
        <w:rPr>
          <w:rFonts w:ascii="Times New Roman" w:cs="Times New Roman" w:hAnsi="Times New Roman"/>
          <w:bCs/>
          <w:szCs w:val="21"/>
          <w:lang w:eastAsia="zh-CN"/>
        </w:rPr>
        <w:t>在规定媒介公告；</w:t>
      </w:r>
    </w:p>
    <w:p w14:paraId="6F6668E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交接：基金管理人职责终止的，基金管理人应妥善保管基金管理业务资料，及时向临时基金管理人或新任基金管理人办理基金管理业务的移交手续，临时基金管理人或新任基金管理人应及时接收。新任基金管理人或临时基金管理人应与基金托管人核对基金资产总值和净值；</w:t>
      </w:r>
    </w:p>
    <w:p w14:paraId="46D29D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7、审计：基金管理人职责终止的，应当按照法律法规规定聘请会计师事务所对基金财产进行审计，并将审计结果予以公告，同时报中国证监会备案，审计费用由基金财产承担；</w:t>
      </w:r>
    </w:p>
    <w:p w14:paraId="1900DE9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8、基金名称变更：基金管理人更换后，如果原任或新任基金管理人要求，应按其要求替换或删除基金名称中与原基金管理人有关的名称字样。</w:t>
      </w:r>
    </w:p>
    <w:p w14:paraId="5167423B">
      <w:pPr>
        <w:spacing w:after="0" w:line="360" w:lineRule="auto"/>
        <w:ind w:firstLine="420"/>
        <w:rPr>
          <w:rFonts w:ascii="Times New Roman" w:cs="Times New Roman" w:hAnsi="Times New Roman"/>
          <w:bCs/>
          <w:szCs w:val="21"/>
          <w:lang w:eastAsia="zh-CN"/>
        </w:rPr>
      </w:pPr>
      <w:bookmarkStart w:id="268" w:name="_Toc22005975"/>
      <w:r>
        <w:rPr>
          <w:rFonts w:ascii="Times New Roman" w:cs="Times New Roman" w:hAnsi="Times New Roman"/>
          <w:bCs/>
          <w:szCs w:val="21"/>
          <w:lang w:eastAsia="zh-CN"/>
        </w:rPr>
        <w:t>（二）基金托管人的更换程序</w:t>
      </w:r>
      <w:bookmarkEnd w:id="268"/>
    </w:p>
    <w:p w14:paraId="0164BE4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1、提名：新任基金托管人由基金管理人或由单独或合计持有</w:t>
      </w:r>
      <w:r>
        <w:rPr>
          <w:rFonts w:ascii="Times New Roman" w:cs="Times New Roman" w:hAnsi="Times New Roman"/>
          <w:szCs w:val="21"/>
          <w:lang w:eastAsia="zh-CN"/>
        </w:rPr>
        <w:t>10%以上（含10%）</w:t>
      </w:r>
      <w:r>
        <w:rPr>
          <w:rFonts w:ascii="Times New Roman" w:cs="Times New Roman" w:hAnsi="Times New Roman"/>
          <w:bCs/>
          <w:szCs w:val="21"/>
          <w:lang w:eastAsia="zh-CN"/>
        </w:rPr>
        <w:t>基金份额的基金份额持有人提名；</w:t>
      </w:r>
    </w:p>
    <w:p w14:paraId="10E58D4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2、决议：基金份额持有人大会在基金托管人职责终止后</w:t>
      </w:r>
      <w:r>
        <w:rPr>
          <w:rFonts w:ascii="Times New Roman" w:cs="Times New Roman" w:hAnsi="Times New Roman"/>
          <w:szCs w:val="21"/>
          <w:lang w:eastAsia="zh-CN"/>
        </w:rPr>
        <w:t>6个月内</w:t>
      </w:r>
      <w:r>
        <w:rPr>
          <w:rFonts w:ascii="Times New Roman" w:cs="Times New Roman" w:hAnsi="Times New Roman"/>
          <w:bCs/>
          <w:szCs w:val="21"/>
          <w:lang w:eastAsia="zh-CN"/>
        </w:rPr>
        <w:t>对被提名的基金托管人形成决议，该决议需经参加大会的基金份额持有人所持表决权的</w:t>
      </w:r>
      <w:r>
        <w:rPr>
          <w:rFonts w:ascii="Times New Roman" w:cs="Times New Roman" w:hAnsi="Times New Roman"/>
          <w:szCs w:val="21"/>
          <w:lang w:eastAsia="zh-CN"/>
        </w:rPr>
        <w:t>三分之二以上（含</w:t>
      </w:r>
      <w:r>
        <w:rPr>
          <w:rFonts w:ascii="Times New Roman" w:cs="Times New Roman" w:hAnsi="Times New Roman"/>
          <w:bCs/>
          <w:szCs w:val="21"/>
          <w:lang w:eastAsia="zh-CN"/>
        </w:rPr>
        <w:t>三分之二）表决通过，决议自表决通过之日起生效。新任基金</w:t>
      </w:r>
      <w:r>
        <w:rPr>
          <w:rFonts w:ascii="Times New Roman" w:cs="Times New Roman" w:hAnsi="Times New Roman"/>
          <w:szCs w:val="21"/>
          <w:lang w:eastAsia="zh-CN"/>
        </w:rPr>
        <w:t>托管人应当符合法律法规及中国证监会规定的资格条件</w:t>
      </w:r>
      <w:r>
        <w:rPr>
          <w:rFonts w:ascii="Times New Roman" w:cs="Times New Roman" w:hAnsi="Times New Roman"/>
          <w:bCs/>
          <w:szCs w:val="21"/>
          <w:lang w:eastAsia="zh-CN"/>
        </w:rPr>
        <w:t>；</w:t>
      </w:r>
    </w:p>
    <w:p w14:paraId="5168C51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3、临时基金托管人：新任基金托管人产生之前，由中国证监会指定临时基金托管人；</w:t>
      </w:r>
    </w:p>
    <w:p w14:paraId="3B5CE2F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w:t>
      </w:r>
      <w:r>
        <w:rPr>
          <w:rFonts w:ascii="Times New Roman" w:cs="Times New Roman" w:hAnsi="Times New Roman"/>
          <w:szCs w:val="21"/>
          <w:lang w:eastAsia="zh-CN"/>
        </w:rPr>
        <w:t>备案</w:t>
      </w:r>
      <w:r>
        <w:rPr>
          <w:rFonts w:ascii="Times New Roman" w:cs="Times New Roman" w:hAnsi="Times New Roman"/>
          <w:bCs/>
          <w:szCs w:val="21"/>
          <w:lang w:eastAsia="zh-CN"/>
        </w:rPr>
        <w:t>：基金份额持有人大会更换基金托管人的决议须报中国证监会备案；</w:t>
      </w:r>
    </w:p>
    <w:p w14:paraId="757C38A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5、公告：基金托管人更换后，</w:t>
      </w:r>
      <w:r>
        <w:rPr>
          <w:rFonts w:ascii="Times New Roman" w:cs="Times New Roman" w:hAnsi="Times New Roman"/>
          <w:szCs w:val="21"/>
          <w:lang w:eastAsia="zh-CN"/>
        </w:rPr>
        <w:t>由基金管理人在更换基金托管人的基金份额持有人大会决议生效后2日内</w:t>
      </w:r>
      <w:r>
        <w:rPr>
          <w:rFonts w:ascii="Times New Roman" w:cs="Times New Roman" w:hAnsi="Times New Roman"/>
          <w:bCs/>
          <w:szCs w:val="21"/>
          <w:lang w:eastAsia="zh-CN"/>
        </w:rPr>
        <w:t>在规定媒介公告；</w:t>
      </w:r>
    </w:p>
    <w:p w14:paraId="39975D5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6、交接：基金托管人职责终止的，应当妥善保管基金财产和基金托管业务资料，及时办理基金财产和基金托管业务的移交手续，新任基金托管人或者临时基金托管人应当及时接收。新任基金托管人或临时基金托管人应与基金管理人核对基金资产总值和净值； </w:t>
      </w:r>
    </w:p>
    <w:p w14:paraId="7EE42B9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7、审计：基金托管人职责终止的，应当按照法律法规规定聘请会计师事务所对基金财产进行审计，并将审计结果予以公告，同时报中国证监会备案，审计费用由基金财产承担。</w:t>
      </w:r>
    </w:p>
    <w:p w14:paraId="12684188">
      <w:pPr>
        <w:spacing w:after="0" w:line="360" w:lineRule="auto"/>
        <w:ind w:firstLine="420"/>
        <w:rPr>
          <w:rFonts w:ascii="Times New Roman" w:cs="Times New Roman" w:hAnsi="Times New Roman"/>
          <w:bCs/>
          <w:szCs w:val="21"/>
          <w:lang w:eastAsia="zh-CN"/>
        </w:rPr>
      </w:pPr>
      <w:bookmarkStart w:id="269" w:name="_Toc1357"/>
      <w:r>
        <w:rPr>
          <w:rFonts w:ascii="Times New Roman" w:cs="Times New Roman" w:hAnsi="Times New Roman"/>
          <w:bCs/>
          <w:szCs w:val="21"/>
          <w:lang w:eastAsia="zh-CN"/>
        </w:rPr>
        <w:t>（三）基金管理人与基金托管人同时更换的条件和程序</w:t>
      </w:r>
      <w:bookmarkEnd w:id="269"/>
    </w:p>
    <w:p w14:paraId="44A6A89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1、提名：如果基金管理人和基金托管人同时更换，由单独或合计持有基金总份额</w:t>
      </w:r>
      <w:r>
        <w:rPr>
          <w:rFonts w:ascii="Times New Roman" w:cs="Times New Roman" w:hAnsi="Times New Roman"/>
          <w:szCs w:val="21"/>
          <w:lang w:eastAsia="zh-CN"/>
        </w:rPr>
        <w:t>10%以上（含10%）</w:t>
      </w:r>
      <w:r>
        <w:rPr>
          <w:rFonts w:ascii="Times New Roman" w:cs="Times New Roman" w:hAnsi="Times New Roman"/>
          <w:bCs/>
          <w:szCs w:val="21"/>
          <w:lang w:eastAsia="zh-CN"/>
        </w:rPr>
        <w:t>的基金份额持有人提名新的基金管理人和基金托管人；</w:t>
      </w:r>
    </w:p>
    <w:p w14:paraId="489E8CC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2、基金管理人和基金托管人的更换分别按上述程序进行；</w:t>
      </w:r>
    </w:p>
    <w:p w14:paraId="058CC6E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3、公告：新任基金管理人和新任基金托管人应在更换基金管理人和基金托管人的基金份额持有人大会决议生效后</w:t>
      </w:r>
      <w:r>
        <w:rPr>
          <w:rFonts w:ascii="Times New Roman" w:cs="Times New Roman" w:hAnsi="Times New Roman"/>
          <w:szCs w:val="21"/>
          <w:lang w:eastAsia="zh-CN"/>
        </w:rPr>
        <w:t>2日内</w:t>
      </w:r>
      <w:r>
        <w:rPr>
          <w:rFonts w:ascii="Times New Roman" w:cs="Times New Roman" w:hAnsi="Times New Roman"/>
          <w:bCs/>
          <w:szCs w:val="21"/>
          <w:lang w:eastAsia="zh-CN"/>
        </w:rPr>
        <w:t>在规定媒介上联合公告。</w:t>
      </w:r>
    </w:p>
    <w:p w14:paraId="04B66BE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（四）新任或临时基金管理人接</w:t>
      </w:r>
      <w:bookmarkStart w:id="270" w:name="_Hlk57298751"/>
      <w:r>
        <w:rPr>
          <w:rFonts w:ascii="Times New Roman" w:cs="Times New Roman" w:hAnsi="Times New Roman"/>
          <w:bCs/>
          <w:szCs w:val="21"/>
          <w:lang w:eastAsia="zh-CN"/>
        </w:rPr>
        <w:t>收</w:t>
      </w:r>
      <w:bookmarkEnd w:id="270"/>
      <w:r>
        <w:rPr>
          <w:rFonts w:ascii="Times New Roman" w:cs="Times New Roman" w:hAnsi="Times New Roman"/>
          <w:bCs/>
          <w:szCs w:val="21"/>
          <w:lang w:eastAsia="zh-CN"/>
        </w:rPr>
        <w:t>基金管理业务或新任或临时基金托管人接收基金财产和基金托管业务前，原基金管理人或基金托管人应依据法律法规和基金合同的规定继续履行相关职责，并保证不对基金份额持有人的利益造成损害。</w:t>
      </w:r>
      <w:bookmarkStart w:id="271" w:name="_Hlk57298789"/>
      <w:r>
        <w:rPr>
          <w:rFonts w:ascii="Times New Roman" w:cs="Times New Roman" w:hAnsi="Times New Roman"/>
          <w:bCs/>
          <w:szCs w:val="21"/>
          <w:lang w:eastAsia="zh-CN"/>
        </w:rPr>
        <w:t>原基金管理人或基金托管人在继续履行相关职责期间，仍有权按照本基金合同的规定收取基金管理费或基金托管费。</w:t>
      </w:r>
    </w:p>
    <w:p w14:paraId="6555247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bookmarkEnd w:id="271"/>
    </w:p>
    <w:p w14:paraId="0E6432D6">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272" w:name="_Toc5170"/>
      <w:bookmarkStart w:id="273" w:name="_Toc8791"/>
      <w:bookmarkStart w:id="274" w:name="_Toc32092"/>
      <w:bookmarkStart w:id="275" w:name="_Toc100246526"/>
      <w:bookmarkStart w:id="276" w:name="_Toc141703890"/>
      <w:bookmarkStart w:id="277" w:name="_Toc98560356"/>
      <w:bookmarkStart w:id="278" w:name="_Toc11159934"/>
      <w:bookmarkStart w:id="279" w:name="_Toc3329"/>
      <w:bookmarkStart w:id="280" w:name="_Toc123112238"/>
      <w:bookmarkStart w:id="281" w:name="_Toc17920"/>
      <w:bookmarkStart w:id="282" w:name="_Toc123051456"/>
      <w:bookmarkStart w:id="283" w:name="_Toc17198"/>
      <w:bookmarkStart w:id="284" w:name="_Toc739"/>
      <w:bookmarkStart w:id="285" w:name="_Toc48649708"/>
      <w:bookmarkStart w:id="286" w:name="_Toc20976"/>
      <w:bookmarkStart w:id="287" w:name="_Toc14078728"/>
      <w:bookmarkStart w:id="288" w:name="_Toc21237"/>
      <w:bookmarkStart w:id="289" w:name="_Toc123102457"/>
      <w:bookmarkStart w:id="290" w:name="_Toc57364980"/>
      <w:bookmarkStart w:id="291" w:name="_Toc139991740"/>
      <w:bookmarkStart w:id="292" w:name="_Toc32584"/>
      <w:bookmarkStart w:id="293" w:name="_Toc79392622"/>
      <w:bookmarkStart w:id="294" w:name="_Toc29408"/>
      <w:r>
        <w:rPr>
          <w:rFonts w:ascii="Times New Roman" w:cs="Times New Roman" w:hAnsi="Times New Roman"/>
          <w:color w:val="auto"/>
          <w:sz w:val="21"/>
          <w:szCs w:val="21"/>
          <w:lang w:eastAsia="zh-CN"/>
        </w:rPr>
        <w:t>第十一部分  基金的托管</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4FEF42A">
      <w:pPr>
        <w:spacing w:after="0" w:line="360" w:lineRule="auto"/>
        <w:rPr>
          <w:rFonts w:ascii="Times New Roman" w:cs="Times New Roman" w:hAnsi="Times New Roman"/>
          <w:bCs/>
          <w:szCs w:val="21"/>
          <w:lang w:eastAsia="zh-CN"/>
        </w:rPr>
      </w:pPr>
    </w:p>
    <w:p w14:paraId="33E9C07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基金托管人和基金管理人按照《基金法》、《基金合同》及其他有关规定订立托管协议。</w:t>
      </w:r>
    </w:p>
    <w:p w14:paraId="298A04A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2EE05514">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295" w:name="_Toc21886"/>
      <w:bookmarkStart w:id="296" w:name="_Toc48649710"/>
      <w:bookmarkStart w:id="297" w:name="_Toc26383"/>
      <w:bookmarkStart w:id="298" w:name="_Toc98560357"/>
      <w:bookmarkStart w:id="299" w:name="_Toc139991741"/>
      <w:bookmarkStart w:id="300" w:name="_Toc26084"/>
      <w:bookmarkStart w:id="301" w:name="_Toc123102458"/>
      <w:bookmarkStart w:id="302" w:name="_Toc2255"/>
      <w:bookmarkStart w:id="303" w:name="_Toc100246527"/>
      <w:bookmarkStart w:id="304" w:name="_Toc79392624"/>
      <w:bookmarkStart w:id="305" w:name="_Toc123112239"/>
      <w:bookmarkStart w:id="306" w:name="_Toc31469"/>
      <w:bookmarkStart w:id="307" w:name="_Toc11159935"/>
      <w:bookmarkStart w:id="308" w:name="_Toc14725"/>
      <w:bookmarkStart w:id="309" w:name="_Toc16789"/>
      <w:bookmarkStart w:id="310" w:name="_Toc26152"/>
      <w:bookmarkStart w:id="311" w:name="_Toc19520"/>
      <w:bookmarkStart w:id="312" w:name="_Toc141703891"/>
      <w:bookmarkStart w:id="313" w:name="_Toc123051457"/>
      <w:bookmarkStart w:id="314" w:name="_Toc22674"/>
      <w:bookmarkStart w:id="315" w:name="_Toc57364981"/>
      <w:bookmarkStart w:id="316" w:name="_Toc3244"/>
      <w:bookmarkStart w:id="317" w:name="_Toc14078729"/>
      <w:r>
        <w:rPr>
          <w:rFonts w:ascii="Times New Roman" w:cs="Times New Roman" w:hAnsi="Times New Roman"/>
          <w:color w:val="auto"/>
          <w:sz w:val="21"/>
          <w:szCs w:val="21"/>
          <w:lang w:eastAsia="zh-CN"/>
        </w:rPr>
        <w:t>第十二部分  基金份额的登记</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6F2CA9C5">
      <w:pPr>
        <w:spacing w:after="0" w:line="360" w:lineRule="auto"/>
        <w:rPr>
          <w:rFonts w:ascii="Times New Roman" w:cs="Times New Roman" w:hAnsi="Times New Roman"/>
          <w:bCs/>
          <w:szCs w:val="21"/>
          <w:lang w:eastAsia="zh-CN"/>
        </w:rPr>
      </w:pPr>
    </w:p>
    <w:p w14:paraId="1F79CBA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一、基金的份额登记业务</w:t>
      </w:r>
    </w:p>
    <w:p w14:paraId="1E876E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本基金的登记业务指《中国证券登记结算有限责任公司关于交易所交易型开放式证券投资基金登记结算业务实施细则》定义的基金份额的登记、存管、结算及相关业务。</w:t>
      </w:r>
    </w:p>
    <w:p w14:paraId="4CB6A9E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二、基金登记业务办理机构</w:t>
      </w:r>
    </w:p>
    <w:p w14:paraId="16A1B54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本基金的登记业务由中国证券登记结算有限责任公司负责办理。</w:t>
      </w:r>
    </w:p>
    <w:p w14:paraId="54B51A6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三、基金登记机构的权利</w:t>
      </w:r>
      <w:bookmarkStart w:id="318" w:name="_Hlt88820748"/>
      <w:bookmarkEnd w:id="318"/>
    </w:p>
    <w:p w14:paraId="42C2833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基金登记机构享有以下权利：</w:t>
      </w:r>
    </w:p>
    <w:p w14:paraId="3B30856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1、取得登记费；</w:t>
      </w:r>
    </w:p>
    <w:p w14:paraId="4F79E7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2、建立和管理投资者证券账户或基金账户；</w:t>
      </w:r>
    </w:p>
    <w:p w14:paraId="12B21C3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3、保管基金份额持有人开户资料、交易资料、基金份额持有人名册等；</w:t>
      </w:r>
    </w:p>
    <w:p w14:paraId="55F1759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4、在法律法规允许的范围内，对登记业务的办理时间和相关业务规则进行调整，并依照有关规定于开始实施前在规定媒介上公告；</w:t>
      </w:r>
    </w:p>
    <w:p w14:paraId="2B384B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5、法律法规及中国证监会规定的和《基金合同》约定的其他权利。</w:t>
      </w:r>
    </w:p>
    <w:p w14:paraId="29A57E2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四、基金登记机构的义务</w:t>
      </w:r>
    </w:p>
    <w:p w14:paraId="4CE5A55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基金登记机构承担以下义务：</w:t>
      </w:r>
    </w:p>
    <w:p w14:paraId="2104C82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1、配备足够的专业人员办理本基金份额的登记业务；</w:t>
      </w:r>
    </w:p>
    <w:p w14:paraId="4F7F804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2、严格按照法律法规和《基金合同》规定的条件办理本基金份额的登记业务；</w:t>
      </w:r>
    </w:p>
    <w:p w14:paraId="6969AE5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w:t>
      </w:r>
      <w:r>
        <w:rPr>
          <w:rFonts w:ascii="Times New Roman" w:cs="Times New Roman" w:hAnsi="Times New Roman"/>
          <w:szCs w:val="21"/>
          <w:lang w:eastAsia="zh-CN"/>
        </w:rPr>
        <w:t>妥善保存登记数据，并将基金份额持有人名称、身份信息及基金份额明细等数据备份至中国证监会认定的机构。其保存期限自基金账户销户之日起不得少于20年；</w:t>
      </w:r>
    </w:p>
    <w:p w14:paraId="1651109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对基金份额持有人的基金账户信息负有保密义务，因违反该保密义务对投资者或基金带来的损失，须承担相应的赔偿责任，但司法强制检查情形及法律法规及中国证监会规定的和《基金合同》约定的其他情形除外；</w:t>
      </w:r>
    </w:p>
    <w:p w14:paraId="3EF5A54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5、按《基金合同》及招募说明书规定为投资者办理非交易过户业务、提供其他必要的服务；</w:t>
      </w:r>
    </w:p>
    <w:p w14:paraId="70D17DE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6、接受基金管理人的监督；</w:t>
      </w:r>
    </w:p>
    <w:p w14:paraId="2FD74E0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7、如因登记机构的原因而造成基金管理人或者基金份额持有人损失的，依法承担相应的赔偿责任；</w:t>
      </w:r>
    </w:p>
    <w:p w14:paraId="71DA017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8、法律法规及中国证监会规定的和《基金合同》约定的其他义务。</w:t>
      </w:r>
    </w:p>
    <w:p w14:paraId="53763925">
      <w:pPr>
        <w:spacing w:after="0" w:line="360" w:lineRule="auto"/>
        <w:ind w:firstLine="420"/>
        <w:rPr>
          <w:rFonts w:ascii="Times New Roman" w:cs="Times New Roman" w:hAnsi="Times New Roman"/>
          <w:bCs/>
          <w:szCs w:val="21"/>
          <w:lang w:eastAsia="zh-CN"/>
        </w:rPr>
      </w:pPr>
      <w:bookmarkStart w:id="319" w:name="_Toc13343"/>
    </w:p>
    <w:p w14:paraId="797B2C43">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320" w:name="_Toc578"/>
      <w:bookmarkStart w:id="321" w:name="_Toc21917"/>
      <w:bookmarkStart w:id="322" w:name="_Toc801"/>
      <w:bookmarkStart w:id="323" w:name="_Toc3872"/>
      <w:bookmarkStart w:id="324" w:name="_Toc100246528"/>
      <w:bookmarkStart w:id="325" w:name="_Toc57364982"/>
      <w:bookmarkStart w:id="326" w:name="_Toc11351"/>
      <w:bookmarkStart w:id="327" w:name="_Toc11395"/>
      <w:bookmarkStart w:id="328" w:name="_Toc22538"/>
      <w:bookmarkStart w:id="329" w:name="_Toc16437"/>
      <w:bookmarkStart w:id="330" w:name="_Toc5477"/>
      <w:bookmarkStart w:id="331" w:name="_Toc2981"/>
      <w:bookmarkStart w:id="332" w:name="_Toc11159936"/>
      <w:bookmarkStart w:id="333" w:name="_Hlk45877551"/>
      <w:r>
        <w:rPr>
          <w:rFonts w:ascii="Times New Roman" w:cs="Times New Roman" w:hAnsi="Times New Roman"/>
          <w:color w:val="auto"/>
          <w:sz w:val="21"/>
          <w:szCs w:val="21"/>
          <w:lang w:eastAsia="zh-CN"/>
        </w:rPr>
        <w:t>第十三</w:t>
      </w:r>
      <w:bookmarkStart w:id="334" w:name="_Toc14078730"/>
      <w:r>
        <w:rPr>
          <w:rFonts w:ascii="Times New Roman" w:cs="Times New Roman" w:hAnsi="Times New Roman"/>
          <w:color w:val="auto"/>
          <w:sz w:val="21"/>
          <w:szCs w:val="21"/>
          <w:lang w:eastAsia="zh-CN"/>
        </w:rPr>
        <w:t>部分  基金的投资</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4"/>
    </w:p>
    <w:p w14:paraId="055DEECB">
      <w:pPr>
        <w:spacing w:after="0" w:line="360" w:lineRule="auto"/>
        <w:ind w:firstLine="420"/>
        <w:rPr>
          <w:rFonts w:ascii="Times New Roman" w:cs="Times New Roman" w:hAnsi="Times New Roman"/>
          <w:bCs/>
          <w:szCs w:val="21"/>
          <w:lang w:eastAsia="zh-CN"/>
        </w:rPr>
      </w:pPr>
    </w:p>
    <w:p w14:paraId="7F9E9D4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一、投资目标</w:t>
      </w:r>
    </w:p>
    <w:p w14:paraId="0305EF6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紧密跟踪标的指数，追求跟踪偏离度和跟踪误差最小化。本基金力争日均跟踪偏离度的绝对值不超过0.2%，年跟踪误差不超过2%。</w:t>
      </w:r>
    </w:p>
    <w:p w14:paraId="15BE77F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二、投资范围</w:t>
      </w:r>
    </w:p>
    <w:p w14:paraId="470D435B">
      <w:pPr>
        <w:spacing w:after="0" w:line="360" w:lineRule="auto"/>
        <w:ind w:firstLine="480"/>
        <w:rPr>
          <w:rFonts w:ascii="Times New Roman" w:cs="Times New Roman" w:hAnsi="Times New Roman"/>
          <w:bCs/>
          <w:szCs w:val="21"/>
          <w:lang w:eastAsia="zh-CN"/>
        </w:rPr>
      </w:pPr>
      <w:bookmarkStart w:id="335" w:name="_Hlk106119217"/>
      <w:bookmarkStart w:id="336" w:name="_Hlk45109436"/>
      <w:bookmarkStart w:id="337" w:name="_Hlk149132318"/>
      <w:r>
        <w:rPr>
          <w:rFonts w:ascii="Times New Roman" w:cs="Times New Roman" w:hAnsi="Times New Roman"/>
          <w:bCs/>
          <w:szCs w:val="21"/>
          <w:lang w:eastAsia="zh-CN"/>
        </w:rPr>
        <w:t>本基金主要投资于标的指数成份股、备选成份股。为更好地实现投资目标，基金还可投资于非成份股（含科创板、创业板、存托凭证及其他中国证监会注册或核准上市的股票）、债券（包括国债、央行票据、金融债券、企业债券、公司债券、中期票据、短期融资券、超短期融资券、次级债券、地方政府债券、可转换债券、可交换债券及其他经中国证监会允许投资的债券）、股指期货、股票期权、国债期货、资产支持证券、货币市场工具</w:t>
      </w:r>
      <w:r>
        <w:rPr>
          <w:rFonts w:ascii="Times New Roman" w:cs="Times New Roman" w:hAnsi="Times New Roman"/>
          <w:szCs w:val="21"/>
          <w:lang w:eastAsia="zh-CN"/>
        </w:rPr>
        <w:t>（含同业存单、债券回购等）、银行存款</w:t>
      </w:r>
      <w:r>
        <w:rPr>
          <w:rFonts w:ascii="Times New Roman" w:cs="Times New Roman" w:hAnsi="Times New Roman"/>
          <w:bCs/>
          <w:szCs w:val="21"/>
          <w:lang w:eastAsia="zh-CN"/>
        </w:rPr>
        <w:t>以及法律法规或中国证监会允许基金投资的其他金融工具。本基金可根据法律法规的规定参与融资、转融通证券出借业务。</w:t>
      </w:r>
    </w:p>
    <w:p w14:paraId="62DDD7DE">
      <w:pPr>
        <w:spacing w:after="0" w:line="360" w:lineRule="auto"/>
        <w:ind w:firstLine="480"/>
        <w:rPr>
          <w:rFonts w:ascii="Times New Roman" w:cs="Times New Roman" w:hAnsi="Times New Roman"/>
          <w:bCs/>
          <w:szCs w:val="21"/>
          <w:lang w:eastAsia="zh-CN"/>
        </w:rPr>
      </w:pPr>
      <w:r>
        <w:rPr>
          <w:rFonts w:ascii="Times New Roman" w:cs="Times New Roman" w:hAnsi="Times New Roman"/>
          <w:bCs/>
          <w:szCs w:val="21"/>
          <w:lang w:eastAsia="zh-CN"/>
        </w:rPr>
        <w:t>如法律法规或监管机构以后允许基金投资其他品种，基金管理人在履行适当程序后，可以将其纳入投资范围。</w:t>
      </w:r>
    </w:p>
    <w:p w14:paraId="73AF495F">
      <w:pPr>
        <w:spacing w:after="0" w:line="360" w:lineRule="auto"/>
        <w:ind w:firstLine="480"/>
        <w:rPr>
          <w:rFonts w:ascii="Times New Roman" w:cs="Times New Roman" w:hAnsi="Times New Roman"/>
          <w:bCs/>
          <w:szCs w:val="21"/>
          <w:lang w:eastAsia="zh-CN"/>
        </w:rPr>
      </w:pPr>
      <w:r>
        <w:rPr>
          <w:rFonts w:ascii="Times New Roman" w:cs="Times New Roman" w:hAnsi="Times New Roman"/>
          <w:bCs/>
          <w:szCs w:val="21"/>
          <w:lang w:eastAsia="zh-CN"/>
        </w:rPr>
        <w:t>通常情况下，本基金投资于标的指数成份股和备选成份股的比例不低于基金资产净值的90%，且不低于非现金基金资产的80%</w:t>
      </w:r>
      <w:bookmarkStart w:id="338" w:name="_Hlk116905066"/>
      <w:r>
        <w:rPr>
          <w:rFonts w:ascii="Times New Roman" w:cs="Times New Roman" w:hAnsi="Times New Roman"/>
          <w:bCs/>
          <w:szCs w:val="21"/>
          <w:lang w:eastAsia="zh-CN"/>
        </w:rPr>
        <w:t>。本基金在每个交易日日终在扣除股指期货、国债期货和股票期权合约需缴纳的交易保证金后，应当保持不低于交易保证金一倍的现金。其中，现金不包括结算备付金、存出保证金、应收申购款等</w:t>
      </w:r>
      <w:bookmarkEnd w:id="338"/>
      <w:r>
        <w:rPr>
          <w:rFonts w:ascii="Times New Roman" w:cs="Times New Roman" w:hAnsi="Times New Roman"/>
          <w:bCs/>
          <w:szCs w:val="21"/>
          <w:lang w:eastAsia="zh-CN"/>
        </w:rPr>
        <w:t>。</w:t>
      </w:r>
    </w:p>
    <w:p w14:paraId="269EA6AB">
      <w:pPr>
        <w:spacing w:after="0" w:line="360" w:lineRule="auto"/>
        <w:ind w:firstLine="480"/>
        <w:rPr>
          <w:rFonts w:ascii="Times New Roman" w:cs="Times New Roman" w:hAnsi="Times New Roman"/>
          <w:bCs/>
          <w:szCs w:val="21"/>
          <w:lang w:eastAsia="zh-CN"/>
        </w:rPr>
      </w:pPr>
      <w:r>
        <w:rPr>
          <w:rFonts w:ascii="Times New Roman" w:cs="Times New Roman" w:hAnsi="Times New Roman"/>
          <w:bCs/>
          <w:szCs w:val="21"/>
          <w:lang w:eastAsia="zh-CN"/>
        </w:rPr>
        <w:t>如法律法规或监管机构变更投资品种的投资比例限制，基金管理人在履行适当程序后，可以调整上述投资品种的投资比例。</w:t>
      </w:r>
      <w:bookmarkEnd w:id="335"/>
      <w:bookmarkEnd w:id="336"/>
    </w:p>
    <w:bookmarkEnd w:id="337"/>
    <w:p w14:paraId="2F6CA9F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三、投资策略</w:t>
      </w:r>
    </w:p>
    <w:p w14:paraId="76C22DC4">
      <w:pPr>
        <w:spacing w:after="0" w:line="360" w:lineRule="auto"/>
        <w:ind w:firstLine="420"/>
        <w:rPr>
          <w:rFonts w:ascii="Times New Roman" w:cs="Times New Roman" w:hAnsi="Times New Roman"/>
          <w:bCs/>
          <w:szCs w:val="21"/>
          <w:lang w:eastAsia="zh-CN"/>
        </w:rPr>
      </w:pPr>
      <w:r>
        <w:rPr>
          <w:rFonts w:ascii="Times New Roman" w:cs="Times New Roman" w:hAnsi="Times New Roman"/>
          <w:szCs w:val="21"/>
          <w:lang w:eastAsia="zh-CN"/>
        </w:rPr>
        <w:t>本基金采用</w:t>
      </w:r>
      <w:r>
        <w:rPr>
          <w:rFonts w:ascii="Times New Roman" w:cs="Times New Roman" w:hAnsi="Times New Roman"/>
          <w:bCs/>
          <w:szCs w:val="21"/>
          <w:lang w:eastAsia="zh-CN"/>
        </w:rPr>
        <w:t>完全</w:t>
      </w:r>
      <w:r>
        <w:rPr>
          <w:rFonts w:ascii="Times New Roman" w:cs="Times New Roman" w:hAnsi="Times New Roman"/>
          <w:szCs w:val="21"/>
          <w:lang w:eastAsia="zh-CN"/>
        </w:rPr>
        <w:t>复制策略及适当的替代性策略以更好地跟踪标的指数，</w:t>
      </w:r>
      <w:r>
        <w:rPr>
          <w:rFonts w:ascii="Times New Roman" w:cs="Times New Roman" w:hAnsi="Times New Roman"/>
          <w:bCs/>
          <w:szCs w:val="21"/>
          <w:lang w:eastAsia="zh-CN"/>
        </w:rPr>
        <w:t>实现基金投资目标。</w:t>
      </w:r>
    </w:p>
    <w:p w14:paraId="1262B6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1、完全复制策略</w:t>
      </w:r>
    </w:p>
    <w:p w14:paraId="700A025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w:t>
      </w:r>
      <w:r>
        <w:rPr>
          <w:rFonts w:ascii="Times New Roman" w:cs="Times New Roman" w:hAnsi="Times New Roman" w:hint="eastAsia"/>
          <w:bCs/>
          <w:szCs w:val="21"/>
          <w:lang w:eastAsia="zh-CN"/>
        </w:rPr>
        <w:t>主要</w:t>
      </w:r>
      <w:r>
        <w:rPr>
          <w:rFonts w:ascii="Times New Roman" w:cs="Times New Roman" w:hAnsi="Times New Roman"/>
          <w:bCs/>
          <w:szCs w:val="21"/>
          <w:lang w:eastAsia="zh-CN"/>
        </w:rPr>
        <w:t>采取完全复制法，即按照标的指数成份股及其权重构建基金的股票投资组合，并根据标的指数成份股及其权重的变动对股票投资组合进行相应地调整。</w:t>
      </w:r>
    </w:p>
    <w:p w14:paraId="4B09E4C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2、替代性策略</w:t>
      </w:r>
    </w:p>
    <w:p w14:paraId="559B9B0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因特殊情形导致基金无法完全投资于标的指数成份股时，基金管理人可采取包括成份股替代策略在内的其他指数投资技术适当调整基金投资组合，以达到紧密跟踪标的指数的目的。特殊情形包括但不限于：（1）法律法规的限制；（2）标的指数成份股流动性严重不足；（3）标的指数的成份股票长期停牌；（4）标的指数成份股进行配股、增发或被吸收合并；（5）标的指数成份股派发现金股息；（6）指数成份股定期或临时调整；（7）标的指数编制方法发生变化；（8）其他基金管理人认定不适合投资的股票或可能限制本基金跟踪标的指数的合理原因等。</w:t>
      </w:r>
    </w:p>
    <w:p w14:paraId="4D9881B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3、存托凭证投资策略</w:t>
      </w:r>
    </w:p>
    <w:p w14:paraId="6EB424B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对于存托凭证投资，本基金将在深入研究的基础上，通过定性分析、定量分析等方式，筛选相应的存托凭证投资标的。</w:t>
      </w:r>
    </w:p>
    <w:p w14:paraId="0FF149E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4、衍生品投资策略</w:t>
      </w:r>
    </w:p>
    <w:p w14:paraId="36AD49C9">
      <w:pPr>
        <w:spacing w:after="0" w:line="384" w:lineRule="auto"/>
        <w:ind w:firstLine="420"/>
        <w:rPr>
          <w:rFonts w:ascii="Times New Roman" w:cs="Times New Roman" w:hAnsi="Times New Roman"/>
          <w:szCs w:val="21"/>
          <w:lang w:eastAsia="zh-CN"/>
        </w:rPr>
      </w:pPr>
      <w:r>
        <w:rPr>
          <w:rFonts w:ascii="Times New Roman" w:cs="Times New Roman" w:hAnsi="Times New Roman"/>
          <w:szCs w:val="21"/>
          <w:lang w:eastAsia="zh-CN"/>
        </w:rPr>
        <w:t>为了更好地实现投资目标，基金还有权投资于股指期货、股票期权和国债期货。</w:t>
      </w:r>
    </w:p>
    <w:p w14:paraId="30F46B34">
      <w:pPr>
        <w:spacing w:after="0" w:line="384" w:lineRule="auto"/>
        <w:ind w:firstLine="420"/>
        <w:rPr>
          <w:rFonts w:ascii="Times New Roman" w:cs="Times New Roman" w:hAnsi="Times New Roman"/>
          <w:szCs w:val="21"/>
          <w:lang w:eastAsia="zh-CN"/>
        </w:rPr>
      </w:pPr>
      <w:r>
        <w:rPr>
          <w:rFonts w:ascii="Times New Roman" w:cs="Times New Roman" w:hAnsi="Times New Roman"/>
          <w:szCs w:val="21"/>
          <w:lang w:eastAsia="zh-CN"/>
        </w:rPr>
        <w:t>基金参与股指期货交易，应当根据风险管理的原则，以套期保值为目的。在此基础上，主要选择流动性好、交易活跃的衍生品合约，以提高投资效率，从而更好地跟踪标的指数。</w:t>
      </w:r>
    </w:p>
    <w:p w14:paraId="2BC172CC">
      <w:pPr>
        <w:spacing w:after="0" w:line="384" w:lineRule="auto"/>
        <w:ind w:firstLine="420"/>
        <w:rPr>
          <w:rFonts w:ascii="Times New Roman" w:cs="Times New Roman" w:hAnsi="Times New Roman"/>
          <w:szCs w:val="21"/>
          <w:lang w:eastAsia="zh-CN"/>
        </w:rPr>
      </w:pPr>
      <w:r>
        <w:rPr>
          <w:rFonts w:ascii="Times New Roman" w:cs="Times New Roman" w:hAnsi="Times New Roman"/>
          <w:szCs w:val="21"/>
          <w:lang w:eastAsia="zh-CN"/>
        </w:rPr>
        <w:t>基金参与股票期权交易，应当按照风险管理的原则，以套期保值为目的。基金管理人将根据审慎原则，建立期权交易决策部门或小组，授权特定的管理人员负责期权的投资审批事项，以防范期权投资的风险。</w:t>
      </w:r>
    </w:p>
    <w:p w14:paraId="375DCBD5">
      <w:pPr>
        <w:spacing w:after="0" w:line="360" w:lineRule="auto"/>
        <w:ind w:firstLine="420"/>
        <w:rPr>
          <w:rFonts w:ascii="Times New Roman" w:cs="Times New Roman" w:hAnsi="Times New Roman"/>
          <w:bCs/>
          <w:szCs w:val="21"/>
          <w:lang w:eastAsia="zh-CN"/>
        </w:rPr>
      </w:pPr>
      <w:r>
        <w:rPr>
          <w:rFonts w:ascii="Times New Roman" w:cs="Times New Roman" w:hAnsi="Times New Roman"/>
          <w:szCs w:val="21"/>
          <w:lang w:eastAsia="zh-CN"/>
        </w:rPr>
        <w:t>基金参与国债期货交易，应当根据风险管理的原则，以套期保值为目的。基金管理人将充分考虑国债期货的流动性和风险收益特征，在风险可控的前提下，适度参与国债期货投资。</w:t>
      </w:r>
    </w:p>
    <w:p w14:paraId="24618E6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5、债券投资策略</w:t>
      </w:r>
    </w:p>
    <w:p w14:paraId="4DA1186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结合对未来市场利率预期运用久期调整策略、收益率曲线配置策略、债券类属配置策略、利差轮动策略等多种积极管理策略，通过严谨的研究发现价值被低估的债券和市场投资机会，构建收益稳定、流动性良好的债券组合。</w:t>
      </w:r>
    </w:p>
    <w:p w14:paraId="3832F5F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6、可转换债券、可交换债券投资策略</w:t>
      </w:r>
    </w:p>
    <w:p w14:paraId="16132C4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将对可转换债券、可交换债券对应的基础股票进行深入分析与研究，重点选择有较好盈利能力或成长前景的上市公司的可转换债券、可交换债券，并在对应可转换债券、可交换债券估值合理的前提下进行投资，以分享正股上涨带来的收益。同时，本基金还将密切跟踪上市公司的经营状况，从财务压力、融资安排、未来的投资计划等方面推测、并通过实地调研等方式确认上市公司对转股价的修正和转股意愿。</w:t>
      </w:r>
    </w:p>
    <w:p w14:paraId="7896329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7、资产支持证券投资策略</w:t>
      </w:r>
    </w:p>
    <w:p w14:paraId="3520082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将选择相对价值低估的资产支持证券类属或个券进行投资，并通过期限和品种的分散投资降低组合投资资产支持证券的信用风险、提前偿付风险、利率风险和流动性风险等。同时，依靠纪律化的投资流程和一体化的风险预算机制控制并提高投资组合的风险调整收益。</w:t>
      </w:r>
    </w:p>
    <w:p w14:paraId="28E486D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8、融资、转融通证券出借业务投资策略</w:t>
      </w:r>
    </w:p>
    <w:p w14:paraId="6216EB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本基金将在条件允许的情况下，在风险可控的前提下，本着谨慎原则，适度参与融资、转融通证券出借业务。</w:t>
      </w:r>
    </w:p>
    <w:p w14:paraId="244D13E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利用融资买入证券作为组合流动性管理工具，提高基金的资金使用效率，以满足基金现货交易、期货交易、赎回款支付等流动性需求。 </w:t>
      </w:r>
    </w:p>
    <w:p w14:paraId="3C02651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为了更好地实现投资目标，在加强风险防范并遵守审慎原则的前提下，本基金可根据投资管理需要参与转融通证券出借业务。本基金将在分析市场情况、投资者类型与结构、基金历史申购赎回情况、出借证券流动性情况等因素的基础上，合理确定出借证券的范围、期限和比例。</w:t>
      </w:r>
    </w:p>
    <w:p w14:paraId="42ECA5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未来，随着证券市场投资工具的发展和丰富，本基金可在不改变投资目标及本基金风险收益特征的前提下，遵循法律法规的规定，在履行适当程序后相应调整和更新相关投资策略，并在招募说明书更新中公告。</w:t>
      </w:r>
    </w:p>
    <w:p w14:paraId="0B91506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四、投资限制</w:t>
      </w:r>
    </w:p>
    <w:p w14:paraId="60C67B46">
      <w:pPr>
        <w:spacing w:after="0" w:line="360" w:lineRule="auto"/>
        <w:ind w:firstLine="420"/>
        <w:rPr>
          <w:rFonts w:ascii="Times New Roman" w:cs="Times New Roman" w:hAnsi="Times New Roman"/>
          <w:bCs/>
          <w:szCs w:val="21"/>
          <w:lang w:eastAsia="zh-CN"/>
        </w:rPr>
      </w:pPr>
      <w:bookmarkStart w:id="339" w:name="_Hlk45109461"/>
      <w:bookmarkStart w:id="340" w:name="_Hlk149132346"/>
      <w:r>
        <w:rPr>
          <w:rFonts w:ascii="Times New Roman" w:cs="Times New Roman" w:hAnsi="Times New Roman"/>
          <w:bCs/>
          <w:szCs w:val="21"/>
          <w:lang w:eastAsia="zh-CN"/>
        </w:rPr>
        <w:t>1、组合限制</w:t>
      </w:r>
    </w:p>
    <w:p w14:paraId="39740FE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基金的投资组合应遵循以下限制：</w:t>
      </w:r>
    </w:p>
    <w:p w14:paraId="3494260E">
      <w:pPr>
        <w:spacing w:after="0" w:line="360" w:lineRule="auto"/>
        <w:ind w:firstLine="420"/>
        <w:rPr>
          <w:rFonts w:ascii="Times New Roman" w:cs="Times New Roman" w:hAnsi="Times New Roman"/>
          <w:bCs/>
          <w:szCs w:val="21"/>
          <w:lang w:eastAsia="zh-CN"/>
        </w:rPr>
      </w:pPr>
      <w:bookmarkStart w:id="341" w:name="_Hlk184906121"/>
      <w:r>
        <w:rPr>
          <w:rFonts w:ascii="Times New Roman" w:cs="Times New Roman" w:hAnsi="Times New Roman"/>
          <w:bCs/>
          <w:szCs w:val="21"/>
          <w:lang w:eastAsia="zh-CN"/>
        </w:rPr>
        <w:t>（1）基金投资于标的指数成份股及备选成份股的比例不低于基金资产净值的90%，且不低于非现金基金资产的80%；</w:t>
      </w:r>
    </w:p>
    <w:p w14:paraId="3284C5F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（2）本基金投资于同一原始权益人的各类资产支持证券的比例，不得超过基金资产净值的10％；</w:t>
      </w:r>
    </w:p>
    <w:p w14:paraId="2AAAAD1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（3）本基金持有的全部资产支持证券，其市值不得超过基金资产净值的20％；</w:t>
      </w:r>
    </w:p>
    <w:p w14:paraId="70BFB6A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（4）本基金持有的同一(指同一信用级别)资产支持证券的比例，不得超过该资产支持证券规模的10％；</w:t>
      </w:r>
    </w:p>
    <w:p w14:paraId="05CE25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（5）本基金管理人管理的全部基金投资于同一原始权益人的各类资产支持证券，不得超过其各类资产支持证券合计规模的10％；</w:t>
      </w:r>
    </w:p>
    <w:p w14:paraId="508D88F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（6）本基金应投资于信用级别评级为BBB以上(含BBB)的资产支持证券。基金持有资产支持证券期间，如果其信用等级下降、不再符合投资标准，应在评级报告发布之日起3个月内予以全部卖出；</w:t>
      </w:r>
    </w:p>
    <w:p w14:paraId="60CCFF0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（7）基金财产参与股票发行申购，本基金所申报的金额不超过本基金的总资产，本基金所申报的股票数量不超过拟发行股票公司本次发行股票的总量；</w:t>
      </w:r>
    </w:p>
    <w:p w14:paraId="336023A1">
      <w:pPr>
        <w:spacing w:after="0" w:line="360" w:lineRule="auto"/>
        <w:ind w:firstLine="480"/>
        <w:rPr>
          <w:rFonts w:ascii="Times New Roman" w:cs="Times New Roman" w:hAnsi="Times New Roman"/>
          <w:szCs w:val="21"/>
          <w:lang w:eastAsia="zh-CN"/>
        </w:rPr>
      </w:pPr>
      <w:r>
        <w:rPr>
          <w:rFonts w:ascii="Times New Roman" w:cs="Times New Roman" w:hAnsi="Times New Roman"/>
          <w:bCs/>
          <w:szCs w:val="21"/>
          <w:lang w:eastAsia="zh-CN"/>
        </w:rPr>
        <w:t>（8）本基金进行债券正回购资金余额或逆回购的资金余额不得超过其上一日基金资产净值的40%，</w:t>
      </w:r>
      <w:r>
        <w:rPr>
          <w:rFonts w:ascii="Times New Roman" w:cs="Times New Roman" w:hAnsi="Times New Roman"/>
          <w:szCs w:val="21"/>
          <w:lang w:eastAsia="zh-CN"/>
        </w:rPr>
        <w:t>债券回购的最长期限为1年；</w:t>
      </w:r>
    </w:p>
    <w:p w14:paraId="0A43B5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62A60D4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（10）本基金与私募类证券资管产品及中国证监会认定的其他主体为交易对手开展逆回购交易的，可接受质押品的资质要求应当与本基金合同约定的投资范围保持一致；</w:t>
      </w:r>
    </w:p>
    <w:p w14:paraId="1759072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基金在任何交易日日终，持有的买入股指期货合约价值，不得超过基金资产净值的10%；在任何交易日日终，持有的卖出股指期货合约价值不得超过基金持有的股票总市值的20%；在任何交易日内交易（不包括平仓）的股指期货合约的成交金额不得超过上一交易日基金资产净值的20%；</w:t>
      </w:r>
    </w:p>
    <w:p w14:paraId="4D746E9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基金在任何交易日日终，持有的买入国债期货合约价值，不得超过基金资产净值的15%；基金在任何交易日日终，持有的卖出国债期货合约价值不得超过基金持有的债券总市值的30%；基金在任何交易日内交易（不包括平仓）的国债期货合约的成交金额不得超过上一交易日基金资产净值的30%；</w:t>
      </w:r>
    </w:p>
    <w:p w14:paraId="06C431C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13）在任何交易日日终，持有的买入股指期货和国债期货合约价值与有价证券市值之和，不得超过基金资产净值的100%；其中，有价证券指股票、债券（不含到期日在一年以内的政府债券）、资产支持证券、买入返售金融资产（不含质押式回购）等；每个交易日日终在扣除股指期货、国债期货和股票期权合约需缴纳的交易保证金后，应当保持不低于交易保证金一倍的现金</w:t>
      </w:r>
      <w:r>
        <w:rPr>
          <w:rFonts w:hint="eastAsia"/>
          <w:lang w:eastAsia="zh-CN"/>
        </w:rPr>
        <w:t>；其中，现金不包括结算备付金、存出保证金、应收申购款等；</w:t>
      </w:r>
    </w:p>
    <w:p w14:paraId="2FB6C1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14）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14:paraId="111962E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（15）本基金资产总值不超过基金资产净值的140%；</w:t>
      </w:r>
    </w:p>
    <w:p w14:paraId="15F2D99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（16）在任何交易日日终，本基金持有的融资买入股票与其他有价证券市值之和，不得超过基金资产净值的 95%；</w:t>
      </w:r>
    </w:p>
    <w:p w14:paraId="2092EBE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（17）本基金参与转融通证券出借业务应当符合以下要求：</w:t>
      </w:r>
    </w:p>
    <w:p w14:paraId="3F7183B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A、出借证券资产不得超过基金资产净值的30%，出借期限在10个交易日以上的出借证券应纳入《流动性风险管理规定》所述流动性受限证券的范围；</w:t>
      </w:r>
    </w:p>
    <w:p w14:paraId="00D5F7A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B、参与出借业务的单只证券不得超过基金持有该证券总量的30%；</w:t>
      </w:r>
    </w:p>
    <w:p w14:paraId="2B8B10D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C、最近6个月内日均基金资产净值不得低于2亿元；</w:t>
      </w:r>
    </w:p>
    <w:p w14:paraId="111211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D、本基金参与证券出借的平均剩余期限不得超过30天，平均剩余期限按照市值加权平均计算；</w:t>
      </w:r>
    </w:p>
    <w:p w14:paraId="7D316C3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（18）本基金投资存托凭证的比例限制依照境内上市交易的股票执行，与境内上市交易的股票合并计算；</w:t>
      </w:r>
    </w:p>
    <w:p w14:paraId="6C11AE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（19）法律法规及中国证监会规定的和《基金合同》约定的其他投资限制。</w:t>
      </w:r>
    </w:p>
    <w:p w14:paraId="7D6C83E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除上述（6）、（9）、（10）、（17）情形之外，因证券/期货市场波动、证券发行人合并、基金规模变动、标的指数成份股调整、标的指数成份股流动性限制等基金管理人之外的因素致使基金投资比例不符合上述规定投资比例的，基金管理人应当在10个交易日内进行调整，但中国证监会规定的特殊情形除外。因证券市场波动、上市公司合并、基金规模变动等基金管理人之外的因素致使基金投资不符合上述（17）规定的，基金管理人不得新增证券出借业务。法律法规另有规定时，从其规定。</w:t>
      </w:r>
    </w:p>
    <w:p w14:paraId="470E32F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至本基金进入清算期止。</w:t>
      </w:r>
    </w:p>
    <w:p w14:paraId="06C681D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果法律法规或监管部门对本基金合同约定投资组合比例限制进行变更的，以变更后的规定为准。法律法规或监管部门取消上述限制，如适用于本基金，基金管理人在履行适当程序后，则本基金投资不再受相关限制，自动遵守届时有效的法律法规或监管规定。</w:t>
      </w:r>
    </w:p>
    <w:bookmarkEnd w:id="341"/>
    <w:p w14:paraId="08706AA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2、禁止行为</w:t>
      </w:r>
    </w:p>
    <w:p w14:paraId="5BB856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为维护基金份额持有人的合法权益，基金财产不得用于下列投资或者活动：</w:t>
      </w:r>
    </w:p>
    <w:p w14:paraId="49CABC5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（1）承销证券；</w:t>
      </w:r>
    </w:p>
    <w:p w14:paraId="01A9351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（2）违反规定向他人贷款或者提供担保；</w:t>
      </w:r>
    </w:p>
    <w:p w14:paraId="5366B67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（3）从事承担无限责任的投资；</w:t>
      </w:r>
    </w:p>
    <w:p w14:paraId="2673619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（4）向其基金管理人、基金托管人出资；</w:t>
      </w:r>
    </w:p>
    <w:p w14:paraId="3373485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（5）从事内幕交易、操纵证券交易价格及其他不正当的证券交易活动；</w:t>
      </w:r>
    </w:p>
    <w:p w14:paraId="68AB798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（6）法律、行政法规和中国证监会规定禁止的其他活动。</w:t>
      </w:r>
    </w:p>
    <w:p w14:paraId="1561881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9AF54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w:t>
      </w:r>
      <w:bookmarkStart w:id="342" w:name="_Hlk45107244"/>
      <w:r>
        <w:rPr>
          <w:rFonts w:ascii="Times New Roman" w:cs="Times New Roman" w:hAnsi="Times New Roman"/>
          <w:bCs/>
          <w:szCs w:val="21"/>
          <w:lang w:eastAsia="zh-CN"/>
        </w:rPr>
        <w:t>法律</w:t>
      </w:r>
      <w:bookmarkStart w:id="343" w:name="_Hlk57298918"/>
      <w:r>
        <w:rPr>
          <w:rFonts w:ascii="Times New Roman" w:cs="Times New Roman" w:hAnsi="Times New Roman"/>
          <w:bCs/>
          <w:szCs w:val="21"/>
          <w:lang w:eastAsia="zh-CN"/>
        </w:rPr>
        <w:t>、行政</w:t>
      </w:r>
      <w:bookmarkEnd w:id="343"/>
      <w:r>
        <w:rPr>
          <w:rFonts w:ascii="Times New Roman" w:cs="Times New Roman" w:hAnsi="Times New Roman"/>
          <w:bCs/>
          <w:szCs w:val="21"/>
          <w:lang w:eastAsia="zh-CN"/>
        </w:rPr>
        <w:t>法规或监管部门取消或变更上述禁止性规定，</w:t>
      </w:r>
      <w:bookmarkStart w:id="344" w:name="_Hlk57298933"/>
      <w:r>
        <w:rPr>
          <w:rFonts w:ascii="Times New Roman" w:cs="Times New Roman" w:hAnsi="Times New Roman"/>
          <w:bCs/>
          <w:szCs w:val="21"/>
          <w:lang w:eastAsia="zh-CN"/>
        </w:rPr>
        <w:t>基金管理人在履行适当程序后，</w:t>
      </w:r>
      <w:bookmarkEnd w:id="344"/>
      <w:r>
        <w:rPr>
          <w:rFonts w:ascii="Times New Roman" w:cs="Times New Roman" w:hAnsi="Times New Roman"/>
          <w:bCs/>
          <w:szCs w:val="21"/>
          <w:lang w:eastAsia="zh-CN"/>
        </w:rPr>
        <w:t>本基金可不受上述</w:t>
      </w:r>
      <w:bookmarkStart w:id="345" w:name="_Hlk57298970"/>
      <w:r>
        <w:rPr>
          <w:rFonts w:ascii="Times New Roman" w:cs="Times New Roman" w:hAnsi="Times New Roman"/>
          <w:bCs/>
          <w:szCs w:val="21"/>
          <w:lang w:eastAsia="zh-CN"/>
        </w:rPr>
        <w:t>规定</w:t>
      </w:r>
      <w:bookmarkEnd w:id="345"/>
      <w:r>
        <w:rPr>
          <w:rFonts w:ascii="Times New Roman" w:cs="Times New Roman" w:hAnsi="Times New Roman"/>
          <w:bCs/>
          <w:szCs w:val="21"/>
          <w:lang w:eastAsia="zh-CN"/>
        </w:rPr>
        <w:t>的限制</w:t>
      </w:r>
      <w:bookmarkStart w:id="346" w:name="_Hlk57298984"/>
      <w:r>
        <w:rPr>
          <w:rFonts w:ascii="Times New Roman" w:cs="Times New Roman" w:hAnsi="Times New Roman"/>
          <w:bCs/>
          <w:szCs w:val="21"/>
          <w:lang w:eastAsia="zh-CN"/>
        </w:rPr>
        <w:t>或以变更后的规定为准</w:t>
      </w:r>
      <w:bookmarkEnd w:id="346"/>
      <w:r>
        <w:rPr>
          <w:rFonts w:ascii="Times New Roman" w:cs="Times New Roman" w:hAnsi="Times New Roman"/>
          <w:bCs/>
          <w:szCs w:val="21"/>
          <w:lang w:eastAsia="zh-CN"/>
        </w:rPr>
        <w:t>。</w:t>
      </w:r>
      <w:bookmarkEnd w:id="339"/>
      <w:bookmarkEnd w:id="342"/>
    </w:p>
    <w:bookmarkEnd w:id="340"/>
    <w:p w14:paraId="3653BEB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五、标的指数与业绩比较基准</w:t>
      </w:r>
    </w:p>
    <w:p w14:paraId="45C75D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本基金标的指数为中证卫星产业指数。</w:t>
      </w:r>
    </w:p>
    <w:p w14:paraId="0C67331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本基金业绩比较基准为中证卫星产业指数收益率。</w:t>
      </w:r>
      <w:r>
        <w:rPr>
          <w:rFonts w:ascii="Times New Roman" w:cs="Times New Roman" w:hAnsi="Times New Roman" w:hint="eastAsia"/>
          <w:bCs/>
          <w:szCs w:val="21"/>
          <w:lang w:eastAsia="zh-CN"/>
        </w:rPr>
        <w:t>本基金标的指数变更的，相应更换基金名称和业绩比较基准。</w:t>
      </w:r>
    </w:p>
    <w:p w14:paraId="6E206946">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1、业绩比较基准设定的原因</w:t>
      </w:r>
    </w:p>
    <w:p w14:paraId="6C7393C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本基金为股票型ETF，主要采用完全复制法跟踪标的指数，追求跟踪偏离度和跟踪误差的最小化。本基金的标的指数为</w:t>
      </w:r>
      <w:r>
        <w:rPr>
          <w:rFonts w:ascii="Times New Roman" w:cs="Times New Roman" w:hAnsi="Times New Roman"/>
          <w:bCs/>
          <w:szCs w:val="21"/>
          <w:lang w:eastAsia="zh-CN"/>
        </w:rPr>
        <w:t>中证卫星产业指数</w:t>
      </w:r>
      <w:r>
        <w:rPr>
          <w:rFonts w:ascii="Times New Roman" w:cs="Times New Roman" w:hAnsi="Times New Roman" w:hint="eastAsia"/>
          <w:bCs/>
          <w:szCs w:val="21"/>
          <w:lang w:eastAsia="zh-CN"/>
        </w:rPr>
        <w:t>，相应选取</w:t>
      </w:r>
      <w:r>
        <w:rPr>
          <w:rFonts w:ascii="Times New Roman" w:cs="Times New Roman" w:hAnsi="Times New Roman"/>
          <w:bCs/>
          <w:szCs w:val="21"/>
          <w:lang w:eastAsia="zh-CN"/>
        </w:rPr>
        <w:t>中证卫星产业指数</w:t>
      </w:r>
      <w:r>
        <w:rPr>
          <w:rFonts w:ascii="Times New Roman" w:cs="Times New Roman" w:hAnsi="Times New Roman" w:hint="eastAsia"/>
          <w:bCs/>
          <w:szCs w:val="21"/>
          <w:lang w:eastAsia="zh-CN"/>
        </w:rPr>
        <w:t>作为基准要素，同时将</w:t>
      </w:r>
      <w:r>
        <w:rPr>
          <w:rFonts w:ascii="Times New Roman" w:cs="Times New Roman" w:hAnsi="Times New Roman"/>
          <w:bCs/>
          <w:szCs w:val="21"/>
          <w:lang w:eastAsia="zh-CN"/>
        </w:rPr>
        <w:t>中证卫星产业指数</w:t>
      </w:r>
      <w:r>
        <w:rPr>
          <w:rFonts w:ascii="Times New Roman" w:cs="Times New Roman" w:hAnsi="Times New Roman" w:hint="eastAsia"/>
          <w:bCs/>
          <w:szCs w:val="21"/>
          <w:lang w:eastAsia="zh-CN"/>
        </w:rPr>
        <w:t>的基准要素权重设置为100%。</w:t>
      </w:r>
    </w:p>
    <w:p w14:paraId="28F9CC3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综上，本基金选取的业绩比较基准与基金投资目标、投资范围、投资策略、投资比例限制相匹配。</w:t>
      </w:r>
    </w:p>
    <w:p w14:paraId="121BD1A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2、业绩比较基准要素的基本信息</w:t>
      </w:r>
    </w:p>
    <w:p w14:paraId="50473A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中证卫星产业指数</w:t>
      </w:r>
      <w:r>
        <w:rPr>
          <w:rFonts w:ascii="Times New Roman" w:cs="Times New Roman" w:hAnsi="Times New Roman" w:hint="eastAsia"/>
          <w:bCs/>
          <w:szCs w:val="21"/>
          <w:lang w:eastAsia="zh-CN"/>
        </w:rPr>
        <w:t>由中证指数有限公司编制发布，指数代码为9</w:t>
      </w:r>
      <w:r>
        <w:rPr>
          <w:rFonts w:ascii="Times New Roman" w:cs="Times New Roman" w:hAnsi="Times New Roman"/>
          <w:bCs/>
          <w:szCs w:val="21"/>
          <w:lang w:eastAsia="zh-CN"/>
        </w:rPr>
        <w:t>31594</w:t>
      </w:r>
      <w:r>
        <w:rPr>
          <w:rFonts w:ascii="Times New Roman" w:cs="Times New Roman" w:hAnsi="Times New Roman" w:hint="eastAsia"/>
          <w:bCs/>
          <w:szCs w:val="21"/>
          <w:lang w:eastAsia="zh-CN"/>
        </w:rPr>
        <w:t>，指数具体信息详见中证指数有限公司网站，网址：www.c</w:t>
      </w:r>
      <w:r>
        <w:rPr>
          <w:rFonts w:ascii="Times New Roman" w:cs="Times New Roman" w:hAnsi="Times New Roman"/>
          <w:bCs/>
          <w:szCs w:val="21"/>
          <w:lang w:eastAsia="zh-CN"/>
        </w:rPr>
        <w:t>s</w:t>
      </w:r>
      <w:r>
        <w:rPr>
          <w:rFonts w:ascii="Times New Roman" w:cs="Times New Roman" w:hAnsi="Times New Roman" w:hint="eastAsia"/>
          <w:bCs/>
          <w:szCs w:val="21"/>
          <w:lang w:eastAsia="zh-CN"/>
        </w:rPr>
        <w:t>index.com.cn。</w:t>
      </w:r>
    </w:p>
    <w:p w14:paraId="579769F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3、业绩比较基准的计算方法</w:t>
      </w:r>
    </w:p>
    <w:p w14:paraId="66C9E51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本基金业绩比较基准收益率的计算方法以每日收益率为基础，以时间加权为计算原则。</w:t>
      </w:r>
    </w:p>
    <w:p w14:paraId="6A6605C2">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4、管理投资偏离业绩比较基准的定性或定量方法</w:t>
      </w:r>
    </w:p>
    <w:p w14:paraId="66F7C6FB">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本基金主要采用完全复制法，即按照标的指数成份股及其权重构建基金的股票投资组合，并根据标的指数成份股及其权重的变动对股票投资组合进行相应地调整。在因特殊情形导致基金无法完全投资于标的指数成份股时，本基金可采取包括成份股替代策略在内的其他指数投资技术适当调整基金投资组合，以达到紧密跟踪标的指数的目的。本基金力争日均跟踪偏离度的绝对值不超过0.2%，年跟踪误差不超过2%。如因标的指数编制规则调整或其他因素导致跟踪误差超过上述范围的，本基金将采取合理措施避免跟踪误差过大。</w:t>
      </w:r>
    </w:p>
    <w:p w14:paraId="4A996D6A">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5、未来可能变更业绩比较基准的情况和程序</w:t>
      </w:r>
    </w:p>
    <w:p w14:paraId="7B075A5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p>
    <w:p w14:paraId="6422A05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自指数编制机构停止标的指数的编制及发布至解决方案确定期间，基金管理人应按照指数编制机构提供的最近一个交易日的指数信息遵循基金份额持有人利益优先原则维持基金投资运作。</w:t>
      </w:r>
    </w:p>
    <w:p w14:paraId="1F6DFB81">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若本基金调整业绩比较基准的要素权重，本基金将根据法律法规、中国证监会的规定和基金合同约定履行相关程序。</w:t>
      </w:r>
    </w:p>
    <w:p w14:paraId="59564BC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六、风险收益特征</w:t>
      </w:r>
    </w:p>
    <w:p w14:paraId="5EA692F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本基金属于股票基金，其预期风险与预期收益高于混合基金、债券基金与货币市场基金。</w:t>
      </w:r>
      <w:r>
        <w:rPr>
          <w:rFonts w:ascii="Times New Roman" w:cs="Times New Roman" w:hAnsi="Times New Roman" w:hint="eastAsia"/>
          <w:bCs/>
          <w:szCs w:val="21"/>
          <w:lang w:eastAsia="zh-CN"/>
        </w:rPr>
        <w:t>本基金为指数型基金，紧密跟踪标的指数的表现，具有与标的指数相似的风险收益特征。</w:t>
      </w:r>
    </w:p>
    <w:p w14:paraId="3761275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七、基金管理人代表基金行使股东或债权人权利的处理原则及方法</w:t>
      </w:r>
    </w:p>
    <w:p w14:paraId="252ECFA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1、基金管理人按照国家有关规定代表基金独立行使股东或债权人权利，保护基金份额持有人的利益；</w:t>
      </w:r>
    </w:p>
    <w:p w14:paraId="0FE1297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2、不谋求对上市公司的控股；</w:t>
      </w:r>
    </w:p>
    <w:p w14:paraId="4C006E0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3、有利于基金财产的安全与增值；</w:t>
      </w:r>
    </w:p>
    <w:p w14:paraId="478909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4、不通过关联交易为自身、雇员、授权代理人或任何存在利害关系的第三人牟取任何不当利益。</w:t>
      </w:r>
      <w:bookmarkStart w:id="347" w:name="_Toc13819"/>
      <w:r>
        <w:rPr>
          <w:rFonts w:ascii="Times New Roman" w:cs="Times New Roman" w:hAnsi="Times New Roman"/>
          <w:bCs/>
          <w:szCs w:val="21"/>
          <w:lang w:eastAsia="zh-CN"/>
        </w:rPr>
        <w:t xml:space="preserve">                                                               </w:t>
      </w:r>
    </w:p>
    <w:p w14:paraId="6F4DF88C">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Cs/>
          <w:color w:val="auto"/>
          <w:sz w:val="21"/>
          <w:szCs w:val="21"/>
          <w:lang w:eastAsia="zh-CN"/>
        </w:rPr>
        <w:br w:type="page"/>
      </w:r>
      <w:bookmarkStart w:id="348" w:name="_Toc93226145"/>
      <w:bookmarkStart w:id="349" w:name="_Toc92662704"/>
      <w:bookmarkStart w:id="350" w:name="_Toc31611"/>
      <w:bookmarkStart w:id="351" w:name="_Toc128310496"/>
      <w:bookmarkStart w:id="352" w:name="_Toc139991743"/>
      <w:bookmarkStart w:id="353" w:name="_Toc21642"/>
      <w:bookmarkStart w:id="354" w:name="_Toc32030"/>
      <w:bookmarkStart w:id="355" w:name="_Toc3054"/>
      <w:bookmarkStart w:id="356" w:name="_Toc11159937"/>
      <w:bookmarkStart w:id="357" w:name="_Toc29561"/>
      <w:bookmarkStart w:id="358" w:name="_Toc18000"/>
      <w:bookmarkStart w:id="359" w:name="_Toc24474"/>
      <w:bookmarkStart w:id="360" w:name="_Toc141703893"/>
      <w:bookmarkStart w:id="361" w:name="_Toc26114"/>
      <w:bookmarkStart w:id="362" w:name="_Toc20782"/>
      <w:bookmarkStart w:id="363" w:name="_Toc100246529"/>
      <w:bookmarkStart w:id="364" w:name="_Toc57364983"/>
      <w:bookmarkStart w:id="365" w:name="_Toc20102"/>
      <w:r>
        <w:rPr>
          <w:rFonts w:ascii="Times New Roman" w:cs="Times New Roman" w:hAnsi="Times New Roman"/>
          <w:color w:val="auto"/>
          <w:sz w:val="21"/>
          <w:szCs w:val="21"/>
          <w:lang w:eastAsia="zh-CN"/>
        </w:rPr>
        <w:t>第十四</w:t>
      </w:r>
      <w:bookmarkStart w:id="366" w:name="_Toc14078731"/>
      <w:r>
        <w:rPr>
          <w:rFonts w:ascii="Times New Roman" w:cs="Times New Roman" w:hAnsi="Times New Roman"/>
          <w:color w:val="auto"/>
          <w:sz w:val="21"/>
          <w:szCs w:val="21"/>
          <w:lang w:eastAsia="zh-CN"/>
        </w:rPr>
        <w:t>部分  基金</w:t>
      </w:r>
      <w:bookmarkEnd w:id="348"/>
      <w:bookmarkEnd w:id="349"/>
      <w:r>
        <w:rPr>
          <w:rFonts w:ascii="Times New Roman" w:cs="Times New Roman" w:hAnsi="Times New Roman"/>
          <w:color w:val="auto"/>
          <w:sz w:val="21"/>
          <w:szCs w:val="21"/>
          <w:lang w:eastAsia="zh-CN"/>
        </w:rPr>
        <w:t>的财产</w:t>
      </w:r>
      <w:bookmarkEnd w:id="347"/>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1D4508F3">
      <w:pPr>
        <w:spacing w:after="0" w:line="360" w:lineRule="auto"/>
        <w:ind w:firstLine="420"/>
        <w:rPr>
          <w:rFonts w:ascii="Times New Roman" w:cs="Times New Roman" w:hAnsi="Times New Roman"/>
          <w:bCs/>
          <w:szCs w:val="21"/>
          <w:lang w:eastAsia="zh-CN"/>
        </w:rPr>
      </w:pPr>
    </w:p>
    <w:p w14:paraId="7C750FF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一、基金资产总值</w:t>
      </w:r>
    </w:p>
    <w:p w14:paraId="31F17D3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基金资产总值是指基金拥有的各类有价证券、银行存款本息、基金应收款项及其他资产的价值总和。</w:t>
      </w:r>
    </w:p>
    <w:p w14:paraId="185CCFB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二、基金资产净值</w:t>
      </w:r>
    </w:p>
    <w:p w14:paraId="3B987BB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基金资产净值是指基金资产总值减去基金负债后的价值。</w:t>
      </w:r>
    </w:p>
    <w:p w14:paraId="63CDE63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三、基金财产的账户</w:t>
      </w:r>
    </w:p>
    <w:p w14:paraId="6D06305C">
      <w:pPr>
        <w:spacing w:after="0" w:line="360" w:lineRule="auto"/>
        <w:ind w:firstLine="420"/>
        <w:rPr>
          <w:rFonts w:ascii="Times New Roman" w:cs="Times New Roman" w:hAnsi="Times New Roman"/>
          <w:szCs w:val="21"/>
          <w:lang w:eastAsia="zh-CN"/>
        </w:rPr>
      </w:pPr>
      <w:r>
        <w:rPr>
          <w:rFonts w:ascii="Times New Roman" w:cs="Times New Roman" w:hAnsi="Times New Roman"/>
          <w:bCs/>
          <w:szCs w:val="21"/>
          <w:lang w:eastAsia="zh-CN"/>
        </w:rPr>
        <w:t>基金托管人根据相关法律法规、规范性文件为本基金开立资金账户、证券账户以及投资所需的其他专用账户。开立的基金专用账户与基金管理人、基金托管人、</w:t>
      </w:r>
      <w:r>
        <w:rPr>
          <w:rFonts w:ascii="Times New Roman" w:cs="Times New Roman" w:hAnsi="Times New Roman" w:hint="eastAsia"/>
          <w:bCs/>
          <w:szCs w:val="21"/>
          <w:lang w:eastAsia="zh-CN"/>
        </w:rPr>
        <w:t>证券/期货经纪机构</w:t>
      </w:r>
      <w:r>
        <w:rPr>
          <w:rFonts w:ascii="Times New Roman" w:cs="Times New Roman" w:hAnsi="Times New Roman"/>
          <w:bCs/>
          <w:szCs w:val="21"/>
          <w:lang w:eastAsia="zh-CN"/>
        </w:rPr>
        <w:t>、基金销售机构和基金登记机构自有的财产账户以及其他基金财产账户相独立。</w:t>
      </w:r>
      <w:bookmarkStart w:id="367" w:name="_Hlt88841837"/>
      <w:bookmarkEnd w:id="367"/>
    </w:p>
    <w:p w14:paraId="217A2BD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四、基金财产的保管和处分</w:t>
      </w:r>
      <w:bookmarkStart w:id="368" w:name="_Hlt88900062"/>
      <w:bookmarkEnd w:id="368"/>
    </w:p>
    <w:p w14:paraId="66F098A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本基金财产独立于基金管理人、基金托管人</w:t>
      </w:r>
      <w:r>
        <w:rPr>
          <w:rFonts w:ascii="Times New Roman" w:cs="Times New Roman" w:hAnsi="Times New Roman" w:hint="eastAsia"/>
          <w:bCs/>
          <w:szCs w:val="21"/>
          <w:lang w:eastAsia="zh-CN"/>
        </w:rPr>
        <w:t>、证券</w:t>
      </w:r>
      <w:r>
        <w:rPr>
          <w:rFonts w:ascii="Times New Roman" w:cs="Times New Roman" w:hAnsi="Times New Roman"/>
          <w:bCs/>
          <w:szCs w:val="21"/>
          <w:lang w:eastAsia="zh-CN"/>
        </w:rPr>
        <w:t>/</w:t>
      </w:r>
      <w:r>
        <w:rPr>
          <w:rFonts w:ascii="Times New Roman" w:cs="Times New Roman" w:hAnsi="Times New Roman" w:hint="eastAsia"/>
          <w:bCs/>
          <w:szCs w:val="21"/>
          <w:lang w:eastAsia="zh-CN"/>
        </w:rPr>
        <w:t>期货经纪机构</w:t>
      </w:r>
      <w:r>
        <w:rPr>
          <w:rFonts w:ascii="Times New Roman" w:cs="Times New Roman" w:hAnsi="Times New Roman"/>
          <w:bCs/>
          <w:szCs w:val="21"/>
          <w:lang w:eastAsia="zh-CN"/>
        </w:rPr>
        <w:t>和基金销售机构的财产，并由基金托管人保管。基金管理人、基金托管人、</w:t>
      </w:r>
      <w:r>
        <w:rPr>
          <w:rFonts w:ascii="Times New Roman" w:cs="Times New Roman" w:hAnsi="Times New Roman" w:hint="eastAsia"/>
          <w:bCs/>
          <w:szCs w:val="21"/>
          <w:lang w:eastAsia="zh-CN"/>
        </w:rPr>
        <w:t>证券/期货经纪机构、</w:t>
      </w:r>
      <w:r>
        <w:rPr>
          <w:rFonts w:ascii="Times New Roman" w:cs="Times New Roman" w:hAnsi="Times New Roman"/>
          <w:bCs/>
          <w:szCs w:val="21"/>
          <w:lang w:eastAsia="zh-CN"/>
        </w:rPr>
        <w:t>基金登记机构和基金销售机构以其自有的财产承担其自身的法律责任，其债权人不得对本基金财产行使请求冻结、扣押或其他权利。除依法律法规和《基金合同》的规定处分外，基金财产不得被处分。</w:t>
      </w:r>
    </w:p>
    <w:p w14:paraId="371DAF7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Times New Roman" w:cs="Times New Roman" w:hAnsi="Times New Roman"/>
          <w:szCs w:val="21"/>
          <w:lang w:eastAsia="zh-CN"/>
        </w:rPr>
        <w:t>非因基金财产本身承担的债务，不得对基金财产强制执行。</w:t>
      </w:r>
    </w:p>
    <w:p w14:paraId="08E2204F">
      <w:pPr>
        <w:pStyle w:val="Heading1"/>
        <w:spacing w:after="0" w:before="0"/>
        <w:jc w:val="center"/>
        <w:rPr>
          <w:rFonts w:ascii="Times New Roman" w:cs="Times New Roman" w:hAnsi="Times New Roman"/>
          <w:color w:val="auto"/>
          <w:sz w:val="21"/>
          <w:szCs w:val="21"/>
          <w:lang w:eastAsia="zh-CN"/>
        </w:rPr>
      </w:pPr>
      <w:bookmarkStart w:id="369" w:name="_Toc11159938"/>
      <w:bookmarkStart w:id="370" w:name="_Toc19714"/>
      <w:bookmarkStart w:id="371" w:name="_Toc27832"/>
      <w:bookmarkStart w:id="372" w:name="_Toc2623"/>
      <w:bookmarkStart w:id="373" w:name="_Toc17782"/>
      <w:bookmarkStart w:id="374" w:name="_Toc7802"/>
      <w:bookmarkStart w:id="375" w:name="_Toc871"/>
      <w:bookmarkStart w:id="376" w:name="_Toc31917"/>
      <w:bookmarkStart w:id="377" w:name="_Toc139991744"/>
      <w:bookmarkStart w:id="378" w:name="_Toc141703894"/>
      <w:r>
        <w:rPr>
          <w:rFonts w:ascii="Times New Roman" w:cs="Times New Roman" w:hAnsi="Times New Roman"/>
          <w:color w:val="auto"/>
          <w:sz w:val="21"/>
          <w:szCs w:val="21"/>
          <w:lang w:eastAsia="zh-CN"/>
        </w:rPr>
        <w:br w:type="page"/>
      </w:r>
      <w:bookmarkStart w:id="379" w:name="_Toc57364984"/>
      <w:bookmarkStart w:id="380" w:name="_Toc100246530"/>
      <w:r>
        <w:rPr>
          <w:rFonts w:ascii="Times New Roman" w:cs="Times New Roman" w:hAnsi="Times New Roman"/>
          <w:color w:val="auto"/>
          <w:sz w:val="21"/>
          <w:szCs w:val="21"/>
          <w:lang w:eastAsia="zh-CN"/>
        </w:rPr>
        <w:t>第十五部分  基金资产估值</w:t>
      </w:r>
      <w:bookmarkEnd w:id="369"/>
      <w:bookmarkEnd w:id="370"/>
      <w:bookmarkEnd w:id="371"/>
      <w:bookmarkEnd w:id="372"/>
      <w:bookmarkEnd w:id="373"/>
      <w:bookmarkEnd w:id="374"/>
      <w:bookmarkEnd w:id="375"/>
      <w:bookmarkEnd w:id="376"/>
      <w:bookmarkEnd w:id="379"/>
      <w:bookmarkEnd w:id="380"/>
    </w:p>
    <w:p w14:paraId="65FE3EA1">
      <w:pPr>
        <w:spacing w:after="0" w:line="360" w:lineRule="auto"/>
        <w:ind w:firstLine="420"/>
        <w:rPr>
          <w:rFonts w:ascii="Times New Roman" w:cs="Times New Roman" w:hAnsi="Times New Roman"/>
          <w:bCs/>
          <w:szCs w:val="21"/>
          <w:lang w:eastAsia="zh-CN"/>
        </w:rPr>
      </w:pPr>
    </w:p>
    <w:bookmarkEnd w:id="377"/>
    <w:bookmarkEnd w:id="378"/>
    <w:p w14:paraId="65B58EB6">
      <w:pPr>
        <w:spacing w:after="0" w:line="360" w:lineRule="auto"/>
        <w:ind w:firstLine="420"/>
        <w:rPr>
          <w:rFonts w:ascii="Times New Roman" w:cs="Times New Roman" w:hAnsi="Times New Roman"/>
          <w:bCs/>
          <w:szCs w:val="21"/>
          <w:lang w:eastAsia="zh-CN"/>
        </w:rPr>
      </w:pPr>
      <w:bookmarkStart w:id="381" w:name="_Toc32046"/>
      <w:bookmarkStart w:id="382" w:name="_Toc141703895"/>
      <w:bookmarkStart w:id="383" w:name="_Toc6493"/>
      <w:bookmarkStart w:id="384" w:name="_Toc139991745"/>
      <w:r>
        <w:rPr>
          <w:rFonts w:ascii="Times New Roman" w:cs="Times New Roman" w:hAnsi="Times New Roman"/>
          <w:bCs/>
          <w:szCs w:val="21"/>
          <w:lang w:eastAsia="zh-CN"/>
        </w:rPr>
        <w:t>一、估值日</w:t>
      </w:r>
    </w:p>
    <w:p w14:paraId="0130CF5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本基金的估值日为本基金相关的证券</w:t>
      </w:r>
      <w:r>
        <w:rPr>
          <w:rFonts w:ascii="Times New Roman" w:cs="Times New Roman" w:hAnsi="Times New Roman" w:hint="eastAsia"/>
          <w:bCs/>
          <w:szCs w:val="21"/>
          <w:lang w:eastAsia="zh-CN"/>
        </w:rPr>
        <w:t>/期货</w:t>
      </w:r>
      <w:r>
        <w:rPr>
          <w:rFonts w:ascii="Times New Roman" w:cs="Times New Roman" w:hAnsi="Times New Roman"/>
          <w:bCs/>
          <w:szCs w:val="21"/>
          <w:lang w:eastAsia="zh-CN"/>
        </w:rPr>
        <w:t>交易场所的交易日以及国家法律法规规定需要对外披露基金净值的非交易日。</w:t>
      </w:r>
    </w:p>
    <w:p w14:paraId="488FBDD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二、估值对象</w:t>
      </w:r>
    </w:p>
    <w:p w14:paraId="4D72842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基金所拥有的股票、存托凭证、债券和银行存款本息、应收款项、资产支持证券、股指期货、股票期权、国债期货、其他投资等资产及负债。</w:t>
      </w:r>
    </w:p>
    <w:p w14:paraId="3D457196">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三、估值原则</w:t>
      </w:r>
    </w:p>
    <w:p w14:paraId="2C236D06">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基金管理人在确定相关金融资产和金融负债的公允价值时，应符合《企业会计准则》、监管部门有关规定。</w:t>
      </w:r>
    </w:p>
    <w:p w14:paraId="661A3760">
      <w:pPr>
        <w:numPr>
          <w:ilvl w:val="0"/>
          <w:numId w:val="2"/>
        </w:num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16CB408F">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0E7869E5">
      <w:pPr>
        <w:numPr>
          <w:ilvl w:val="0"/>
          <w:numId w:val="2"/>
        </w:num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C8335A8">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（三）如经济环境发生重大变化或证券发行人发生影响证券价格的重大事件，使潜在估值调整对前一估值日的基金资产净值的影响在0.25%以上的，应对估值进行调整并确定公允价值。</w:t>
      </w:r>
    </w:p>
    <w:p w14:paraId="10AE421B">
      <w:pPr>
        <w:spacing w:after="0" w:line="360" w:lineRule="auto"/>
        <w:ind w:firstLine="420"/>
        <w:rPr>
          <w:rFonts w:ascii="Times New Roman" w:cs="Times New Roman" w:hAnsi="Times New Roman"/>
          <w:szCs w:val="21"/>
          <w:lang w:eastAsia="zh-CN"/>
        </w:rPr>
      </w:pPr>
      <w:r>
        <w:rPr>
          <w:rFonts w:ascii="Times New Roman" w:cs="Times New Roman" w:hAnsi="Times New Roman"/>
          <w:bCs/>
          <w:szCs w:val="21"/>
          <w:lang w:eastAsia="zh-CN"/>
        </w:rPr>
        <w:t>四、估值方法</w:t>
      </w:r>
    </w:p>
    <w:p w14:paraId="082AB1A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1、证券交易所上市的有价证券的估值</w:t>
      </w:r>
    </w:p>
    <w:p w14:paraId="68EDC4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（1）交易所上市的有价证券（包括股票等），以其估值日在证券交易所挂牌的市价（收盘价）估值；估值日无交易的，且最近交易日后经济环境未发生重大变化</w:t>
      </w:r>
      <w:r>
        <w:rPr>
          <w:rFonts w:hAnsi="宋体"/>
          <w:bCs/>
          <w:szCs w:val="21"/>
          <w:lang w:eastAsia="zh-CN"/>
        </w:rPr>
        <w:t>以及</w:t>
      </w:r>
      <w:r>
        <w:rPr>
          <w:rFonts w:ascii="Times New Roman" w:cs="Times New Roman" w:hAnsi="Times New Roman"/>
          <w:bCs/>
          <w:szCs w:val="21"/>
          <w:lang w:eastAsia="zh-CN"/>
        </w:rPr>
        <w:t>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493BB5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（2）交易所上市交易或挂牌转让的不含权固定收益品种，选取估值日第三方估值机构提供的相应品种当日的估值全价进行估值；</w:t>
      </w:r>
    </w:p>
    <w:p w14:paraId="3286ED5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（3）交易所上市交易或挂牌转让的含权固定收益品种，选取估值日第三方估值机构提供的相应品种当日的唯一估值全价或推荐估值全价进行估值；</w:t>
      </w:r>
    </w:p>
    <w:p w14:paraId="7D4C22A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（4）交易所</w:t>
      </w:r>
      <w:r>
        <w:rPr>
          <w:rFonts w:hAnsi="宋体" w:hint="eastAsia"/>
          <w:szCs w:val="21"/>
          <w:lang w:eastAsia="zh-CN"/>
        </w:rPr>
        <w:t>市场</w:t>
      </w:r>
      <w:r>
        <w:rPr>
          <w:rFonts w:ascii="Times New Roman" w:cs="Times New Roman" w:hAnsi="Times New Roman"/>
          <w:bCs/>
          <w:szCs w:val="21"/>
          <w:lang w:eastAsia="zh-CN"/>
        </w:rPr>
        <w:t>上市交易的公开发行的可转换债券等有活跃市场的含转股权的债券</w:t>
      </w:r>
      <w:r>
        <w:rPr>
          <w:rFonts w:ascii="Times New Roman" w:cs="Times New Roman" w:hAnsi="Times New Roman"/>
          <w:lang w:eastAsia="zh-CN"/>
        </w:rPr>
        <w:t>，实行全价交易的债券</w:t>
      </w:r>
      <w:r>
        <w:rPr>
          <w:rFonts w:hAnsi="宋体" w:hint="eastAsia"/>
          <w:szCs w:val="21"/>
          <w:lang w:eastAsia="zh-CN"/>
        </w:rPr>
        <w:t>选取</w:t>
      </w:r>
      <w:r>
        <w:rPr>
          <w:rFonts w:ascii="Times New Roman" w:cs="Times New Roman" w:hAnsi="Times New Roman"/>
          <w:bCs/>
          <w:szCs w:val="21"/>
          <w:lang w:eastAsia="zh-CN"/>
        </w:rPr>
        <w:t>估值日收盘价作为估值全价；</w:t>
      </w:r>
      <w:r>
        <w:rPr>
          <w:rFonts w:ascii="Times New Roman" w:cs="Times New Roman" w:hAnsi="Times New Roman"/>
          <w:lang w:eastAsia="zh-CN"/>
        </w:rPr>
        <w:t>实行净价交易的债券</w:t>
      </w:r>
      <w:r>
        <w:rPr>
          <w:rFonts w:hAnsi="宋体" w:hint="eastAsia"/>
          <w:szCs w:val="21"/>
          <w:lang w:eastAsia="zh-CN"/>
        </w:rPr>
        <w:t>选取</w:t>
      </w:r>
      <w:r>
        <w:rPr>
          <w:rFonts w:ascii="Times New Roman" w:cs="Times New Roman" w:hAnsi="Times New Roman"/>
          <w:lang w:eastAsia="zh-CN"/>
        </w:rPr>
        <w:t>估值日收盘价并加计每百元税前应计利息作为估值全价；</w:t>
      </w:r>
    </w:p>
    <w:p w14:paraId="6CDA712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（5）交易所上市不存在活跃市场的有价证券，采用估值技术确定公允价值。交易所市场挂牌转让的资产支持证券，采用估值技术确定公允价值。</w:t>
      </w:r>
    </w:p>
    <w:p w14:paraId="1332E0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2、处于未上市期间的有价证券应区分如下情况处理：</w:t>
      </w:r>
    </w:p>
    <w:p w14:paraId="21E0015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（1）送股、转增股、配股和公开增发的新股，按估值日在证券交易所挂牌的同一股票的估值方法估值；该日无交易的，以最近一日的市价（收盘价）估值；</w:t>
      </w:r>
    </w:p>
    <w:p w14:paraId="299F33D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（2）首次公开发行未上市的股票，采用估值技术确定公允价值；</w:t>
      </w:r>
    </w:p>
    <w:p w14:paraId="5B9416B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在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券等流通受限股票，按监管机构或行业协会有关规定确定公允价值；</w:t>
      </w:r>
    </w:p>
    <w:p w14:paraId="5B386E5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（4）对在交易所市场发行未上市或未挂牌转让的</w:t>
      </w:r>
      <w:r>
        <w:rPr>
          <w:rFonts w:ascii="Times New Roman" w:cs="Times New Roman" w:hAnsi="Times New Roman" w:hint="eastAsia"/>
          <w:bCs/>
          <w:szCs w:val="21"/>
          <w:lang w:eastAsia="zh-CN"/>
        </w:rPr>
        <w:t>固定收益品种</w:t>
      </w:r>
      <w:r>
        <w:rPr>
          <w:rFonts w:ascii="Times New Roman" w:cs="Times New Roman" w:hAnsi="Times New Roman"/>
          <w:bCs/>
          <w:szCs w:val="21"/>
          <w:lang w:eastAsia="zh-CN"/>
        </w:rPr>
        <w:t>，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1EEE66E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对全国银行间市场上不含权的固定收益品种，按照第三方估值机构提供的相应品种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p w14:paraId="3AEEC7E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对于含投资人回售权的固定收益品种，行使回售权的，在回售登记日至实际收款日期间采用第三方估值机构提供的相应品种的唯一估值全价或推荐估值全价估值。回售登记期截止日（含当日）后未行使回售权的按照长待偿期所对应的价格进行估值。</w:t>
      </w:r>
    </w:p>
    <w:p w14:paraId="757862F3">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5、对于发行人已破产、发行人未能按时足额偿付本金或利息，或者有其它可靠信息表明本金或利息无法按时足额偿付的债券投资品种，第三方估值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267909A7">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6、上述第三方估值机构提供的估值全价指第三方估值机构直接提供的估值全价或第三方估值机构提供的估值净价加每百元应计利息。</w:t>
      </w:r>
    </w:p>
    <w:p w14:paraId="0C740B6F">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7</w:t>
      </w:r>
      <w:r>
        <w:rPr>
          <w:rFonts w:ascii="Times New Roman" w:cs="Times New Roman" w:hAnsi="Times New Roman"/>
          <w:bCs/>
          <w:szCs w:val="21"/>
          <w:lang w:eastAsia="zh-CN"/>
        </w:rPr>
        <w:t>、存款的估值方法</w:t>
      </w:r>
    </w:p>
    <w:p w14:paraId="5AE76AE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持有的银行定期存款或通知存款以本金列示，按协议或合同利率逐日确认利息收入。</w:t>
      </w:r>
    </w:p>
    <w:p w14:paraId="7AFD07FD">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8</w:t>
      </w:r>
      <w:r>
        <w:rPr>
          <w:rFonts w:ascii="Times New Roman" w:cs="Times New Roman" w:hAnsi="Times New Roman"/>
          <w:bCs/>
          <w:szCs w:val="21"/>
          <w:lang w:eastAsia="zh-CN"/>
        </w:rPr>
        <w:t>、投资证券衍生品的估值方法</w:t>
      </w:r>
    </w:p>
    <w:p w14:paraId="5828809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（1）股指期货合约和国债期货合约，一般以估值当日结算价进行估值，估值当日无结算价的，且最近交易日后经济环境未发生重大变化的，采用最近交易日结算价估值。</w:t>
      </w:r>
    </w:p>
    <w:p w14:paraId="24D9776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（2）本基金投资股票期权，根据相关法律法规以及监管部门的规定估值。</w:t>
      </w:r>
    </w:p>
    <w:p w14:paraId="45C732EA">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9</w:t>
      </w:r>
      <w:r>
        <w:rPr>
          <w:rFonts w:ascii="Times New Roman" w:cs="Times New Roman" w:hAnsi="Times New Roman"/>
          <w:bCs/>
          <w:szCs w:val="21"/>
          <w:lang w:eastAsia="zh-CN"/>
        </w:rPr>
        <w:t>、同一证券同时在两个或两个以上市场交易的，按证券所处的市场分别估值。</w:t>
      </w:r>
    </w:p>
    <w:p w14:paraId="05F91C32">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10</w:t>
      </w:r>
      <w:r>
        <w:rPr>
          <w:rFonts w:ascii="Times New Roman" w:cs="Times New Roman" w:hAnsi="Times New Roman"/>
          <w:bCs/>
          <w:szCs w:val="21"/>
          <w:lang w:eastAsia="zh-CN"/>
        </w:rPr>
        <w:t>、本基金投资存托凭证的估值核算，依照境内上市交易的股票执行。</w:t>
      </w:r>
    </w:p>
    <w:p w14:paraId="40BB4DD5">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w:t>
      </w:r>
      <w:r>
        <w:rPr>
          <w:rFonts w:ascii="Times New Roman" w:cs="Times New Roman" w:hAnsi="Times New Roman"/>
          <w:bCs/>
          <w:szCs w:val="21"/>
          <w:lang w:eastAsia="zh-CN"/>
        </w:rPr>
        <w:t>1、如有确凿证据表明按上述方法进行估值不能客观反映其公允价值的，基金管理人可根据具体情况与基金托管人商定后，按最能反映公允价值的价格估值。</w:t>
      </w:r>
    </w:p>
    <w:p w14:paraId="6CA5A98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w:t>
      </w:r>
      <w:r>
        <w:rPr>
          <w:rFonts w:ascii="Times New Roman" w:cs="Times New Roman" w:hAnsi="Times New Roman"/>
          <w:bCs/>
          <w:szCs w:val="21"/>
          <w:lang w:eastAsia="zh-CN"/>
        </w:rPr>
        <w:t>2、基金参与融资和转融通证券出借业务的，应参照</w:t>
      </w:r>
      <w:r>
        <w:rPr>
          <w:rFonts w:ascii="Times New Roman" w:cs="Times New Roman" w:hAnsi="Times New Roman" w:hint="eastAsia"/>
          <w:bCs/>
          <w:szCs w:val="21"/>
          <w:lang w:eastAsia="zh-CN"/>
        </w:rPr>
        <w:t>相关法律法规和</w:t>
      </w:r>
      <w:r>
        <w:rPr>
          <w:rFonts w:ascii="Times New Roman" w:cs="Times New Roman" w:hAnsi="Times New Roman"/>
          <w:bCs/>
          <w:szCs w:val="21"/>
          <w:lang w:eastAsia="zh-CN"/>
        </w:rPr>
        <w:t>行业协会的相关规定进行估值，确保估值的公允性。</w:t>
      </w:r>
    </w:p>
    <w:p w14:paraId="2A65DFB6">
      <w:pPr>
        <w:spacing w:after="0" w:line="360" w:lineRule="auto"/>
        <w:ind w:firstLine="420"/>
        <w:rPr>
          <w:rFonts w:ascii="Times New Roman" w:cs="Times New Roman" w:hAnsi="Times New Roman"/>
          <w:bCs/>
          <w:szCs w:val="21"/>
          <w:lang w:eastAsia="zh-CN"/>
        </w:rPr>
      </w:pPr>
      <w:bookmarkStart w:id="385" w:name="_Hlk180596347"/>
      <w:r>
        <w:rPr>
          <w:rFonts w:ascii="Times New Roman" w:cs="Times New Roman" w:hAnsi="Times New Roman" w:hint="eastAsia"/>
          <w:bCs/>
          <w:szCs w:val="21"/>
          <w:lang w:eastAsia="zh-CN"/>
        </w:rPr>
        <w:t>13、税收按照相关法律法规、监管机构等的规定以及行业惯例进行处理。</w:t>
      </w:r>
    </w:p>
    <w:bookmarkEnd w:id="385"/>
    <w:p w14:paraId="2144152C">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14</w:t>
      </w:r>
      <w:r>
        <w:rPr>
          <w:rFonts w:ascii="Times New Roman" w:cs="Times New Roman" w:hAnsi="Times New Roman"/>
          <w:bCs/>
          <w:szCs w:val="21"/>
          <w:lang w:eastAsia="zh-CN"/>
        </w:rPr>
        <w:t>、其他资产按法律法规或监管机构有关规定进行估值。</w:t>
      </w:r>
    </w:p>
    <w:p w14:paraId="4BECFA79">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15</w:t>
      </w:r>
      <w:r>
        <w:rPr>
          <w:rFonts w:ascii="Times New Roman" w:cs="Times New Roman" w:hAnsi="Times New Roman"/>
          <w:bCs/>
          <w:szCs w:val="21"/>
          <w:lang w:eastAsia="zh-CN"/>
        </w:rPr>
        <w:t>、相关法律法规以及监管部门有强制规定的，从其规定。如有新增事项，按国家最新规定估值。</w:t>
      </w:r>
    </w:p>
    <w:p w14:paraId="5D51C45B">
      <w:pPr>
        <w:spacing w:after="0" w:line="360" w:lineRule="auto"/>
        <w:ind w:firstLine="420"/>
        <w:rPr>
          <w:rStyle w:val="read"/>
          <w:rFonts w:ascii="Times New Roman" w:cs="Times New Roman" w:hAnsi="Times New Roman"/>
          <w:bCs/>
          <w:szCs w:val="21"/>
          <w:lang w:eastAsia="zh-CN"/>
        </w:rPr>
      </w:pPr>
      <w:r>
        <w:rPr>
          <w:rStyle w:val="read"/>
          <w:rFonts w:ascii="Times New Roman" w:cs="Times New Roman" w:hAnsi="Times New Roman"/>
          <w:bCs/>
          <w:szCs w:val="21"/>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14:paraId="24E6AD14">
      <w:pPr>
        <w:spacing w:after="0" w:line="360" w:lineRule="auto"/>
        <w:ind w:firstLine="420"/>
        <w:rPr>
          <w:rStyle w:val="read"/>
          <w:rFonts w:ascii="Times New Roman" w:cs="Times New Roman" w:hAnsi="Times New Roman"/>
          <w:bCs/>
          <w:szCs w:val="21"/>
          <w:lang w:eastAsia="zh-CN"/>
        </w:rPr>
      </w:pPr>
      <w:r>
        <w:rPr>
          <w:rFonts w:ascii="Times New Roman" w:cs="Times New Roman" w:hAnsi="Times New Roman"/>
          <w:bCs/>
          <w:szCs w:val="21"/>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w:t>
      </w:r>
      <w:r>
        <w:rPr>
          <w:rStyle w:val="read"/>
          <w:rFonts w:ascii="Times New Roman" w:cs="Times New Roman" w:hAnsi="Times New Roman"/>
          <w:bCs/>
          <w:szCs w:val="21"/>
          <w:lang w:eastAsia="zh-CN"/>
        </w:rPr>
        <w:t>布。</w:t>
      </w:r>
    </w:p>
    <w:p w14:paraId="408A9F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五、估值程序</w:t>
      </w:r>
    </w:p>
    <w:p w14:paraId="2122270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1、基金份额净值是按照每个工作日闭市后，基金资产净值除以当日基金份额的余额数量计算，精确到</w:t>
      </w:r>
      <w:r>
        <w:rPr>
          <w:rFonts w:ascii="Times New Roman" w:cs="Times New Roman" w:hAnsi="Times New Roman"/>
          <w:szCs w:val="21"/>
          <w:lang w:eastAsia="zh-CN"/>
        </w:rPr>
        <w:t>0.0001元</w:t>
      </w:r>
      <w:r>
        <w:rPr>
          <w:rFonts w:ascii="Times New Roman" w:cs="Times New Roman" w:hAnsi="Times New Roman"/>
          <w:bCs/>
          <w:szCs w:val="21"/>
          <w:lang w:eastAsia="zh-CN"/>
        </w:rPr>
        <w:t>，小数点后</w:t>
      </w:r>
      <w:r>
        <w:rPr>
          <w:rFonts w:ascii="Times New Roman" w:cs="Times New Roman" w:hAnsi="Times New Roman"/>
          <w:szCs w:val="21"/>
          <w:lang w:eastAsia="zh-CN"/>
        </w:rPr>
        <w:t>第5位</w:t>
      </w:r>
      <w:r>
        <w:rPr>
          <w:rFonts w:ascii="Times New Roman" w:cs="Times New Roman" w:hAnsi="Times New Roman"/>
          <w:bCs/>
          <w:szCs w:val="21"/>
          <w:lang w:eastAsia="zh-CN"/>
        </w:rPr>
        <w:t>四舍五入</w:t>
      </w:r>
      <w:r>
        <w:rPr>
          <w:rFonts w:ascii="Times New Roman" w:cs="Times New Roman" w:hAnsi="Times New Roman" w:hint="eastAsia"/>
          <w:bCs/>
          <w:szCs w:val="21"/>
          <w:lang w:eastAsia="zh-CN"/>
        </w:rPr>
        <w:t>，由此产生的误差计入基金财产</w:t>
      </w:r>
      <w:r>
        <w:rPr>
          <w:rFonts w:ascii="Times New Roman" w:cs="Times New Roman" w:hAnsi="Times New Roman"/>
          <w:bCs/>
          <w:szCs w:val="21"/>
          <w:lang w:eastAsia="zh-CN"/>
        </w:rPr>
        <w:t>。国家另有规定的，从其规定。</w:t>
      </w:r>
    </w:p>
    <w:p w14:paraId="364065C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基金管理人每个工作日计算基金资产净值及基金份额净值，并按规定公告。</w:t>
      </w:r>
    </w:p>
    <w:p w14:paraId="5F8C5CA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2、基金管理人应每个工作日对基金资产估值，但基金管理人根据法律法规或本基金合同的规定暂停估值时除外。基金管理人每个工作日对基金资产估值后，将基金</w:t>
      </w:r>
      <w:bookmarkStart w:id="386" w:name="_Hlk180596366"/>
      <w:r>
        <w:rPr>
          <w:rFonts w:hAnsi="宋体"/>
          <w:bCs/>
          <w:szCs w:val="21"/>
          <w:lang w:eastAsia="zh-CN"/>
        </w:rPr>
        <w:t>份额</w:t>
      </w:r>
      <w:bookmarkEnd w:id="386"/>
      <w:r>
        <w:rPr>
          <w:rFonts w:ascii="Times New Roman" w:cs="Times New Roman" w:hAnsi="Times New Roman"/>
          <w:bCs/>
          <w:szCs w:val="21"/>
          <w:lang w:eastAsia="zh-CN"/>
        </w:rPr>
        <w:t>净值结果发送基金托管人，经基金托管人复核无误后，由基金管理人对外公布。</w:t>
      </w:r>
    </w:p>
    <w:p w14:paraId="26CB4DB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六、估值错误的处理</w:t>
      </w:r>
    </w:p>
    <w:p w14:paraId="6070E6D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基金管理人和基金托管人将采取必要、适当、合理的措施确保基金资产估值的准确性、及时性。当基金份额净值小数点</w:t>
      </w:r>
      <w:r>
        <w:rPr>
          <w:rFonts w:ascii="Times New Roman" w:cs="Times New Roman" w:hAnsi="Times New Roman"/>
          <w:szCs w:val="21"/>
          <w:lang w:eastAsia="zh-CN"/>
        </w:rPr>
        <w:t>后4位</w:t>
      </w:r>
      <w:r>
        <w:rPr>
          <w:rFonts w:ascii="Times New Roman" w:cs="Times New Roman" w:hAnsi="Times New Roman"/>
          <w:bCs/>
          <w:szCs w:val="21"/>
          <w:lang w:eastAsia="zh-CN"/>
        </w:rPr>
        <w:t>以内(含</w:t>
      </w:r>
      <w:r>
        <w:rPr>
          <w:rFonts w:ascii="Times New Roman" w:cs="Times New Roman" w:hAnsi="Times New Roman"/>
          <w:szCs w:val="21"/>
          <w:lang w:eastAsia="zh-CN"/>
        </w:rPr>
        <w:t>第4位</w:t>
      </w:r>
      <w:r>
        <w:rPr>
          <w:rFonts w:ascii="Times New Roman" w:cs="Times New Roman" w:hAnsi="Times New Roman"/>
          <w:bCs/>
          <w:szCs w:val="21"/>
          <w:lang w:eastAsia="zh-CN"/>
        </w:rPr>
        <w:t>)发生估值错误时，视为基金份额净值错误。</w:t>
      </w:r>
    </w:p>
    <w:p w14:paraId="6654373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本基金合同的当事人应按照以下约定处理：</w:t>
      </w:r>
    </w:p>
    <w:p w14:paraId="47D64D6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1、估值错误类型</w:t>
      </w:r>
    </w:p>
    <w:p w14:paraId="036388B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1C816FD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上述估值错误的主要类型包括但不限于：资料申报差错、数据传输差错、数据计算差错、系统故障差错、下达指令差错等。</w:t>
      </w:r>
    </w:p>
    <w:p w14:paraId="2CAD236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2、估值错误处理原则</w:t>
      </w:r>
    </w:p>
    <w:p w14:paraId="093460D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w:t>
      </w:r>
    </w:p>
    <w:p w14:paraId="3973EEF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（2）估值错误的责任方对有关当事人的直接损失负责，不对间接损失负责，并且仅对估值错误的有关直接当事人负责，不对第三方负责。</w:t>
      </w:r>
    </w:p>
    <w:p w14:paraId="2FA2A7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0E0AA24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（4）估值错误调整采用尽量恢复至假设未发生估值错误的正确情形的方式。</w:t>
      </w:r>
    </w:p>
    <w:p w14:paraId="48FF7D3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（5）按法律法规规定的其他原则处理估值错误。</w:t>
      </w:r>
    </w:p>
    <w:p w14:paraId="0C738C8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3、估值错误处理程序</w:t>
      </w:r>
    </w:p>
    <w:p w14:paraId="47E235C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估值错误被发现后，有关的当事人应当及时进行处理，处理的程序如下：</w:t>
      </w:r>
    </w:p>
    <w:p w14:paraId="4C3642B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（1）查明估值错误发生的原因，列明所有的当事人，并根据估值错误发生的原因确定估值错误的责任方；</w:t>
      </w:r>
    </w:p>
    <w:p w14:paraId="58A9AF5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（2）根据估值错误处理原则或当事人协商的方法对因估值错误造成的损失进行评估；</w:t>
      </w:r>
    </w:p>
    <w:p w14:paraId="00B835B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（3）根据估值错误处理原则或当事人协商的方法由估值错误的责任方进行更正和赔偿损失；</w:t>
      </w:r>
    </w:p>
    <w:p w14:paraId="35F134D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（4）根据估值错误处理的方法，需要修改基金登记机构交易数据的，由基金登记机构进行更正。</w:t>
      </w:r>
    </w:p>
    <w:p w14:paraId="018454D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4、基金份额净值估值错误处理的方法如下：</w:t>
      </w:r>
    </w:p>
    <w:p w14:paraId="4CB7F81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（1）基金份额净值计算出现错误时，基金管理人应当立即予以纠正，通报基金托管人，并采取合理的措施防止损失进一步扩大。</w:t>
      </w:r>
    </w:p>
    <w:p w14:paraId="48B5CD2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（2）错误偏差达到基金份额净值的0.25%时，基金管理人应当通报基金托管人并报中国证监会备案；错误偏差达到基金份额净值的0.5%时，基金管理人应当公告</w:t>
      </w:r>
      <w:r>
        <w:rPr>
          <w:rFonts w:ascii="Times New Roman" w:cs="Times New Roman" w:hAnsi="Times New Roman"/>
          <w:szCs w:val="21"/>
          <w:lang w:eastAsia="zh-CN"/>
        </w:rPr>
        <w:t>，并报中国证监会备案</w:t>
      </w:r>
      <w:r>
        <w:rPr>
          <w:rFonts w:ascii="Times New Roman" w:cs="Times New Roman" w:hAnsi="Times New Roman"/>
          <w:bCs/>
          <w:szCs w:val="21"/>
          <w:lang w:eastAsia="zh-CN"/>
        </w:rPr>
        <w:t>。</w:t>
      </w:r>
    </w:p>
    <w:p w14:paraId="018CDA1E">
      <w:pPr>
        <w:spacing w:after="0" w:line="360" w:lineRule="auto"/>
        <w:ind w:firstLine="420"/>
        <w:rPr>
          <w:rFonts w:ascii="Times New Roman" w:hAnsi="Times New Roman"/>
          <w:bCs/>
          <w:szCs w:val="21"/>
          <w:lang w:eastAsia="zh-CN"/>
        </w:rPr>
      </w:pPr>
      <w:bookmarkStart w:id="387" w:name="_Hlk180596386"/>
      <w:r>
        <w:rPr>
          <w:rFonts w:ascii="Times New Roman" w:hAnsi="Times New Roman"/>
          <w:bCs/>
          <w:szCs w:val="21"/>
          <w:lang w:eastAsia="zh-CN"/>
        </w:rPr>
        <w:t>（3）</w:t>
      </w:r>
      <w:r>
        <w:rPr>
          <w:rFonts w:ascii="Times New Roman" w:hAnsi="Times New Roman" w:hint="eastAsia"/>
          <w:bCs/>
          <w:szCs w:val="21"/>
          <w:lang w:eastAsia="zh-CN"/>
        </w:rPr>
        <w:t>基金管理人和基金托管人由于各自技术系统设置而产生的净值计算尾差，以基金管理人计算结果为准。</w:t>
      </w:r>
    </w:p>
    <w:bookmarkEnd w:id="387"/>
    <w:p w14:paraId="13986F2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（4）前述内容如法律法规或监管机关另有规定的，从其规定处理。</w:t>
      </w:r>
      <w:r>
        <w:rPr>
          <w:rFonts w:ascii="Times New Roman" w:cs="Times New Roman" w:hAnsi="Times New Roman" w:hint="eastAsia"/>
          <w:bCs/>
          <w:szCs w:val="21"/>
          <w:lang w:eastAsia="zh-CN"/>
        </w:rPr>
        <w:t>如果行业另有通行做法，基金管理人与基金托管人应本着平等和保护基金份额持有人利益的原则进行协商。</w:t>
      </w:r>
    </w:p>
    <w:p w14:paraId="59ED75E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七、暂停估值的情形</w:t>
      </w:r>
    </w:p>
    <w:p w14:paraId="05D1D80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1、基金投资所涉及的证券/期货交易市场遇法定节假日或因其他原因暂停营业时；</w:t>
      </w:r>
    </w:p>
    <w:p w14:paraId="5E588AD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2、因不可抗力致使基金管理人、基金托管人无法准确评估基金资产价值时；</w:t>
      </w:r>
    </w:p>
    <w:p w14:paraId="05D3F45D">
      <w:pPr>
        <w:spacing w:after="0" w:line="360" w:lineRule="auto"/>
        <w:ind w:firstLine="420"/>
        <w:rPr>
          <w:rFonts w:ascii="Times New Roman" w:cs="Times New Roman" w:hAnsi="Times New Roman"/>
          <w:bCs/>
          <w:szCs w:val="21"/>
          <w:lang w:eastAsia="zh-CN"/>
        </w:rPr>
      </w:pPr>
      <w:r>
        <w:rPr>
          <w:rFonts w:ascii="Times New Roman" w:cs="Times New Roman" w:hAnsi="Times New Roman"/>
          <w:szCs w:val="21"/>
          <w:lang w:eastAsia="zh-CN"/>
        </w:rPr>
        <w:t>3、当前一估值日基金资产净值 50%以上的资产出现无可参考的活跃市场价格且采用估值技术仍导致公允价值存在重大不确定性时，经与基金托管人协商确认后，基金管理人应当暂停估值；</w:t>
      </w:r>
    </w:p>
    <w:p w14:paraId="2F5250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4、法律法规、中国证监会和基金合同认定的其他情形。</w:t>
      </w:r>
    </w:p>
    <w:p w14:paraId="03E6371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八、基金净值的确认</w:t>
      </w:r>
    </w:p>
    <w:p w14:paraId="31DCD80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净值信息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对基金净值予以公布。</w:t>
      </w:r>
    </w:p>
    <w:p w14:paraId="005880DA">
      <w:pPr>
        <w:spacing w:after="0" w:line="360" w:lineRule="auto"/>
        <w:ind w:firstLine="420"/>
        <w:rPr>
          <w:rFonts w:ascii="Times New Roman" w:cs="Times New Roman" w:hAnsi="Times New Roman"/>
          <w:bCs/>
          <w:szCs w:val="21"/>
          <w:lang w:eastAsia="zh-CN"/>
        </w:rPr>
      </w:pPr>
      <w:bookmarkStart w:id="388" w:name="_Toc14078733"/>
      <w:r>
        <w:rPr>
          <w:rFonts w:ascii="Times New Roman" w:cs="Times New Roman" w:hAnsi="Times New Roman"/>
          <w:bCs/>
          <w:szCs w:val="21"/>
          <w:lang w:eastAsia="zh-CN"/>
        </w:rPr>
        <w:t>九、特殊情况的处理</w:t>
      </w:r>
    </w:p>
    <w:p w14:paraId="5E53EBC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1、基金管理人或基金托管人按估值方法的第11项进行估值时，所造成的误差不作为基金资产估值错误处理。</w:t>
      </w:r>
    </w:p>
    <w:p w14:paraId="5489478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w:t>
      </w:r>
      <w:bookmarkStart w:id="389" w:name="_Hlk141369941"/>
      <w:r>
        <w:rPr>
          <w:rFonts w:ascii="Times New Roman" w:cs="Times New Roman" w:hAnsi="Times New Roman"/>
          <w:bCs/>
          <w:szCs w:val="21"/>
          <w:lang w:eastAsia="zh-CN"/>
        </w:rPr>
        <w:t>由于证券交易所、期货交易所、登记结算公司、指数编制机构</w:t>
      </w:r>
      <w:r>
        <w:rPr>
          <w:rFonts w:ascii="Times New Roman" w:cs="Times New Roman" w:hAnsi="Times New Roman" w:hint="eastAsia"/>
          <w:bCs/>
          <w:szCs w:val="21"/>
          <w:lang w:eastAsia="zh-CN"/>
        </w:rPr>
        <w:t>、证券/期货经纪机构</w:t>
      </w:r>
      <w:r>
        <w:rPr>
          <w:rFonts w:ascii="Times New Roman" w:cs="Times New Roman" w:hAnsi="Times New Roman"/>
          <w:bCs/>
          <w:szCs w:val="21"/>
          <w:lang w:eastAsia="zh-CN"/>
        </w:rPr>
        <w:t>、第三方估值机构及存款银行等第三方机构发送的数据错误、遗漏，或有关会计制度变化</w:t>
      </w:r>
      <w:r>
        <w:rPr>
          <w:rFonts w:ascii="Times New Roman" w:cs="Times New Roman" w:hAnsi="Times New Roman" w:hint="eastAsia"/>
          <w:bCs/>
          <w:szCs w:val="21"/>
          <w:lang w:eastAsia="zh-CN"/>
        </w:rPr>
        <w:t>、市场规则变更</w:t>
      </w:r>
      <w:r>
        <w:rPr>
          <w:rFonts w:ascii="Times New Roman" w:cs="Times New Roman" w:hAnsi="Times New Roman"/>
          <w:bCs/>
          <w:szCs w:val="21"/>
          <w:lang w:eastAsia="zh-CN"/>
        </w:rPr>
        <w:t>或由于其他不可抗力等非基金管理人与基金托管人的原因，基金管理人和基金托管人虽然已经采取必要、适当、合理的措施进行检查，但是未能发现该错误</w:t>
      </w:r>
      <w:bookmarkStart w:id="390" w:name="_Hlk180596426"/>
      <w:r>
        <w:rPr>
          <w:rFonts w:ascii="Times New Roman" w:cs="Times New Roman" w:hAnsi="Times New Roman"/>
          <w:bCs/>
          <w:szCs w:val="21"/>
          <w:lang w:eastAsia="zh-CN"/>
        </w:rPr>
        <w:t>、遗漏</w:t>
      </w:r>
      <w:r>
        <w:rPr>
          <w:rFonts w:hAnsi="宋体" w:hint="eastAsia"/>
          <w:bCs/>
          <w:szCs w:val="21"/>
          <w:lang w:eastAsia="zh-CN"/>
        </w:rPr>
        <w:t>或未能避免错误发生或虽发现错误但因前述原因无法及时更正</w:t>
      </w:r>
      <w:bookmarkEnd w:id="390"/>
      <w:r>
        <w:rPr>
          <w:rFonts w:ascii="Times New Roman" w:cs="Times New Roman" w:hAnsi="Times New Roman"/>
          <w:bCs/>
          <w:szCs w:val="21"/>
          <w:lang w:eastAsia="zh-CN"/>
        </w:rPr>
        <w:t>而造成的基金份额净值计算错误</w:t>
      </w:r>
      <w:r>
        <w:rPr>
          <w:rFonts w:ascii="Times New Roman" w:cs="Times New Roman" w:hAnsi="Times New Roman" w:hint="eastAsia"/>
          <w:bCs/>
          <w:szCs w:val="21"/>
          <w:lang w:eastAsia="zh-CN"/>
        </w:rPr>
        <w:t>、遗漏</w:t>
      </w:r>
      <w:r>
        <w:rPr>
          <w:rFonts w:ascii="Times New Roman" w:cs="Times New Roman" w:hAnsi="Times New Roman"/>
          <w:bCs/>
          <w:szCs w:val="21"/>
          <w:lang w:eastAsia="zh-CN"/>
        </w:rPr>
        <w:t>，基金管理人、基金托管人免除赔偿责任。但基金管理人、基金托管人应积极采取必要的措施减轻或消除由此造成的影响。</w:t>
      </w:r>
      <w:bookmarkEnd w:id="389"/>
    </w:p>
    <w:p w14:paraId="3189CF2D">
      <w:pPr>
        <w:spacing w:after="0" w:line="360" w:lineRule="auto"/>
        <w:ind w:firstLine="420"/>
        <w:rPr>
          <w:rFonts w:ascii="Times New Roman" w:cs="Times New Roman" w:hAnsi="Times New Roman"/>
          <w:bCs/>
          <w:szCs w:val="21"/>
          <w:lang w:eastAsia="zh-CN"/>
        </w:rPr>
      </w:pPr>
    </w:p>
    <w:p w14:paraId="0EDDAF9E">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391" w:name="_Toc19752"/>
      <w:bookmarkStart w:id="392" w:name="_Toc13987"/>
      <w:bookmarkStart w:id="393" w:name="_Toc100246531"/>
      <w:bookmarkStart w:id="394" w:name="_Toc15779"/>
      <w:bookmarkStart w:id="395" w:name="_Toc19706"/>
      <w:bookmarkStart w:id="396" w:name="_Toc32227"/>
      <w:bookmarkStart w:id="397" w:name="_Toc57364985"/>
      <w:bookmarkStart w:id="398" w:name="_Toc24601"/>
      <w:bookmarkStart w:id="399" w:name="_Toc11159939"/>
      <w:bookmarkStart w:id="400" w:name="_Toc3365"/>
      <w:bookmarkStart w:id="401" w:name="_Toc12105"/>
      <w:bookmarkStart w:id="402" w:name="_Toc32041"/>
      <w:r>
        <w:rPr>
          <w:rFonts w:ascii="Times New Roman" w:cs="Times New Roman" w:hAnsi="Times New Roman"/>
          <w:color w:val="auto"/>
          <w:sz w:val="21"/>
          <w:szCs w:val="21"/>
          <w:lang w:eastAsia="zh-CN"/>
        </w:rPr>
        <w:t>第十六部分  基金费用与税收</w:t>
      </w:r>
      <w:bookmarkEnd w:id="381"/>
      <w:bookmarkEnd w:id="382"/>
      <w:bookmarkEnd w:id="383"/>
      <w:bookmarkEnd w:id="384"/>
      <w:bookmarkEnd w:id="388"/>
      <w:bookmarkEnd w:id="391"/>
      <w:bookmarkEnd w:id="392"/>
      <w:bookmarkEnd w:id="393"/>
      <w:bookmarkEnd w:id="394"/>
      <w:bookmarkEnd w:id="395"/>
      <w:bookmarkEnd w:id="396"/>
      <w:bookmarkEnd w:id="397"/>
      <w:bookmarkEnd w:id="398"/>
      <w:bookmarkEnd w:id="399"/>
      <w:bookmarkEnd w:id="400"/>
      <w:bookmarkEnd w:id="401"/>
      <w:bookmarkEnd w:id="402"/>
    </w:p>
    <w:p w14:paraId="69A6F1B3">
      <w:pPr>
        <w:spacing w:after="0" w:line="360" w:lineRule="auto"/>
        <w:ind w:firstLine="420"/>
        <w:rPr>
          <w:rFonts w:ascii="Times New Roman" w:cs="Times New Roman" w:hAnsi="Times New Roman"/>
          <w:bCs/>
          <w:szCs w:val="21"/>
          <w:lang w:eastAsia="zh-CN"/>
        </w:rPr>
      </w:pPr>
    </w:p>
    <w:p w14:paraId="44934DCC">
      <w:pPr>
        <w:spacing w:after="0" w:line="360" w:lineRule="auto"/>
        <w:ind w:firstLine="473"/>
        <w:rPr>
          <w:rFonts w:ascii="Times New Roman" w:cs="Times New Roman" w:hAnsi="Times New Roman"/>
          <w:bCs/>
          <w:szCs w:val="21"/>
          <w:lang w:eastAsia="zh-CN"/>
        </w:rPr>
      </w:pPr>
      <w:bookmarkStart w:id="403" w:name="_Hlk149132283"/>
      <w:r>
        <w:rPr>
          <w:rFonts w:ascii="Times New Roman" w:cs="Times New Roman" w:hAnsi="Times New Roman"/>
          <w:bCs/>
          <w:szCs w:val="21"/>
          <w:lang w:eastAsia="zh-CN"/>
        </w:rPr>
        <w:t>一、基金费用的种类</w:t>
      </w:r>
    </w:p>
    <w:p w14:paraId="621C68EB">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1、基金管理人的管理费；</w:t>
      </w:r>
    </w:p>
    <w:p w14:paraId="76F1E918">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2、基金托管人的托管费；</w:t>
      </w:r>
    </w:p>
    <w:p w14:paraId="398822DF">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3、基金的证券、期货、期权交易费用；</w:t>
      </w:r>
    </w:p>
    <w:p w14:paraId="36AEA73E">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4、</w:t>
      </w:r>
      <w:bookmarkStart w:id="404" w:name="_Hlk23776693"/>
      <w:r>
        <w:rPr>
          <w:rFonts w:ascii="Times New Roman" w:cs="Times New Roman" w:hAnsi="Times New Roman"/>
          <w:bCs/>
          <w:szCs w:val="21"/>
          <w:lang w:eastAsia="zh-CN"/>
        </w:rPr>
        <w:t>除法律法规、中国证监会另有规定外，</w:t>
      </w:r>
      <w:bookmarkEnd w:id="404"/>
      <w:r>
        <w:rPr>
          <w:rFonts w:ascii="Times New Roman" w:cs="Times New Roman" w:hAnsi="Times New Roman"/>
          <w:bCs/>
          <w:szCs w:val="21"/>
          <w:lang w:eastAsia="zh-CN"/>
        </w:rPr>
        <w:t>《基金合同》生效后与基金相关的信息披露费用；</w:t>
      </w:r>
    </w:p>
    <w:p w14:paraId="6552D461">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5、《基金合同》生效后与基金相关的会计师费、律师费、仲裁费和诉讼费；</w:t>
      </w:r>
    </w:p>
    <w:p w14:paraId="35AA8BCB">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6、基金份额持有人大会费用；</w:t>
      </w:r>
    </w:p>
    <w:p w14:paraId="6AC1BC91">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7、基金的银行汇划费用；</w:t>
      </w:r>
    </w:p>
    <w:p w14:paraId="256BEE01">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8、基金上市初费及年费；</w:t>
      </w:r>
    </w:p>
    <w:p w14:paraId="38966259">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9、</w:t>
      </w:r>
      <w:bookmarkStart w:id="405" w:name="OLE_LINK2"/>
      <w:bookmarkStart w:id="406" w:name="OLE_LINK3"/>
      <w:r>
        <w:rPr>
          <w:rFonts w:ascii="Times New Roman" w:cs="Times New Roman" w:hAnsi="Times New Roman"/>
          <w:bCs/>
          <w:szCs w:val="21"/>
          <w:lang w:eastAsia="zh-CN"/>
        </w:rPr>
        <w:t>基金收益分配中发生的费用</w:t>
      </w:r>
      <w:bookmarkEnd w:id="405"/>
      <w:bookmarkEnd w:id="406"/>
      <w:r>
        <w:rPr>
          <w:rFonts w:ascii="Times New Roman" w:cs="Times New Roman" w:hAnsi="Times New Roman"/>
          <w:bCs/>
          <w:szCs w:val="21"/>
          <w:lang w:eastAsia="zh-CN"/>
        </w:rPr>
        <w:t>；</w:t>
      </w:r>
    </w:p>
    <w:p w14:paraId="7C47BCD5">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10、基金的开户费用和账户维护费用；</w:t>
      </w:r>
    </w:p>
    <w:p w14:paraId="672422AD">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11、按照国家有关规定和《基金合同》约定，可以在基金财产中列支的其他费用。</w:t>
      </w:r>
    </w:p>
    <w:p w14:paraId="705324E1">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二、基金费用计提方法、计提标准和支付方式</w:t>
      </w:r>
    </w:p>
    <w:p w14:paraId="40BACA5E">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 xml:space="preserve">1、基金管理人的管理费 </w:t>
      </w:r>
    </w:p>
    <w:p w14:paraId="58F25116">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本基金的管理费按前一日基金资产净值的0.15%年费率计提。管理费的计算方法如下：</w:t>
      </w:r>
    </w:p>
    <w:p w14:paraId="631DAA22">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H＝E×0.15%÷当年天数</w:t>
      </w:r>
    </w:p>
    <w:p w14:paraId="0414BED6">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H为每日应计提的基金管理费</w:t>
      </w:r>
    </w:p>
    <w:p w14:paraId="2AE9BB1C">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E为前一日的基金资产净值</w:t>
      </w:r>
    </w:p>
    <w:p w14:paraId="63BBF0D2">
      <w:pPr>
        <w:spacing w:line="360" w:lineRule="auto"/>
        <w:ind w:firstLine="472" w:firstLineChars="225"/>
        <w:rPr>
          <w:rFonts w:ascii="Times New Roman" w:hAnsi="Times New Roman"/>
          <w:bCs/>
          <w:szCs w:val="21"/>
          <w:lang w:eastAsia="zh-CN"/>
        </w:rPr>
      </w:pPr>
      <w:bookmarkStart w:id="407" w:name="_Hlk180596449"/>
      <w:r>
        <w:rPr>
          <w:rFonts w:ascii="Times New Roman" w:hAnsi="Times New Roman"/>
          <w:bCs/>
          <w:szCs w:val="21"/>
          <w:lang w:eastAsia="zh-CN"/>
        </w:rPr>
        <w:t>基金管理费每日计算，</w:t>
      </w:r>
      <w:r>
        <w:rPr>
          <w:rFonts w:ascii="Times New Roman" w:hAnsi="Times New Roman" w:hint="eastAsia"/>
          <w:bCs/>
          <w:szCs w:val="21"/>
          <w:lang w:eastAsia="zh-CN"/>
        </w:rPr>
        <w:t>逐日累计至每月月末，按月支付。由基金托管人根据与基金管理人核对一致的财务数据，自动在次月前</w:t>
      </w:r>
      <w:r>
        <w:rPr>
          <w:rFonts w:ascii="Times New Roman" w:hAnsi="Times New Roman"/>
          <w:bCs/>
          <w:szCs w:val="21"/>
          <w:lang w:eastAsia="zh-CN"/>
        </w:rPr>
        <w:t>5个工作日内、按照指定的账户路径</w:t>
      </w:r>
      <w:r>
        <w:rPr>
          <w:rFonts w:ascii="Times New Roman" w:hAnsi="Times New Roman" w:hint="eastAsia"/>
          <w:bCs/>
          <w:szCs w:val="21"/>
          <w:lang w:eastAsia="zh-CN"/>
        </w:rPr>
        <w:t>从基金财产中一次性</w:t>
      </w:r>
      <w:r>
        <w:rPr>
          <w:rFonts w:ascii="Times New Roman" w:hAnsi="Times New Roman"/>
          <w:bCs/>
          <w:szCs w:val="21"/>
          <w:lang w:eastAsia="zh-CN"/>
        </w:rPr>
        <w:t>支付，基金管理人无需再出具资金划拨指令。若遇法定节假日、休息日或不可抗力等，支付日期顺延。费用自动扣划后，基金管理人应进行核对，如发现数据不符，及时联系基金托管人协商解决。</w:t>
      </w:r>
    </w:p>
    <w:bookmarkEnd w:id="407"/>
    <w:p w14:paraId="3C12855A">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2、基金托管人的托管费</w:t>
      </w:r>
    </w:p>
    <w:p w14:paraId="2D92981A">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本基金的托管费按前一日基金资产净值的0.05%的年费率计提。托管费的计算方法如下：</w:t>
      </w:r>
    </w:p>
    <w:p w14:paraId="6BE1DF15">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H＝E×0.05%÷当年天数</w:t>
      </w:r>
    </w:p>
    <w:p w14:paraId="533806F6">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H为每日应计提的基金托管费</w:t>
      </w:r>
    </w:p>
    <w:p w14:paraId="276FFF95">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E为前一日的基金资产净值</w:t>
      </w:r>
    </w:p>
    <w:p w14:paraId="0EACC668">
      <w:pPr>
        <w:spacing w:line="360" w:lineRule="auto"/>
        <w:ind w:firstLine="472" w:firstLineChars="225"/>
        <w:rPr>
          <w:rFonts w:ascii="Times New Roman" w:hAnsi="Times New Roman"/>
          <w:bCs/>
          <w:szCs w:val="21"/>
          <w:lang w:eastAsia="zh-CN"/>
        </w:rPr>
      </w:pPr>
      <w:bookmarkStart w:id="408" w:name="_Hlk180596459"/>
      <w:bookmarkStart w:id="409" w:name="_Hlk180501648"/>
      <w:r>
        <w:rPr>
          <w:rFonts w:ascii="Times New Roman" w:hAnsi="Times New Roman"/>
          <w:bCs/>
          <w:szCs w:val="21"/>
          <w:lang w:eastAsia="zh-CN"/>
        </w:rPr>
        <w:t>基金托管费每日计算，</w:t>
      </w:r>
      <w:r>
        <w:rPr>
          <w:rFonts w:ascii="Times New Roman" w:hAnsi="Times New Roman" w:hint="eastAsia"/>
          <w:bCs/>
          <w:szCs w:val="21"/>
          <w:lang w:eastAsia="zh-CN"/>
        </w:rPr>
        <w:t>逐日累计至每月月末，按月支付。由基金托管人根据与基金管理人核对一致的财务数据，自动在次月前</w:t>
      </w:r>
      <w:r>
        <w:rPr>
          <w:rFonts w:ascii="Times New Roman" w:hAnsi="Times New Roman"/>
          <w:bCs/>
          <w:szCs w:val="21"/>
          <w:lang w:eastAsia="zh-CN"/>
        </w:rPr>
        <w:t>5个工作日内、按照指定的账户路径</w:t>
      </w:r>
      <w:r>
        <w:rPr>
          <w:rFonts w:ascii="Times New Roman" w:hAnsi="Times New Roman" w:hint="eastAsia"/>
          <w:bCs/>
          <w:szCs w:val="21"/>
          <w:lang w:eastAsia="zh-CN"/>
        </w:rPr>
        <w:t>从基金财产中一次性</w:t>
      </w:r>
      <w:r>
        <w:rPr>
          <w:rFonts w:ascii="Times New Roman" w:hAnsi="Times New Roman"/>
          <w:bCs/>
          <w:szCs w:val="21"/>
          <w:lang w:eastAsia="zh-CN"/>
        </w:rPr>
        <w:t>支</w:t>
      </w:r>
      <w:r>
        <w:rPr>
          <w:rFonts w:ascii="Times New Roman" w:hAnsi="Times New Roman" w:hint="eastAsia"/>
          <w:bCs/>
          <w:szCs w:val="21"/>
          <w:lang w:eastAsia="zh-CN"/>
        </w:rPr>
        <w:t>取</w:t>
      </w:r>
      <w:r>
        <w:rPr>
          <w:rFonts w:ascii="Times New Roman" w:hAnsi="Times New Roman"/>
          <w:bCs/>
          <w:szCs w:val="21"/>
          <w:lang w:eastAsia="zh-CN"/>
        </w:rPr>
        <w:t>，基金管理人无需再出具资金划拨指令。若遇法定节假日、休息日或不可抗力等，支付日期顺延。费用自动扣划后，基金管理人应进行核对，如发现数据不符，及时联系基金托管人协商解决。</w:t>
      </w:r>
    </w:p>
    <w:bookmarkEnd w:id="408"/>
    <w:bookmarkEnd w:id="409"/>
    <w:p w14:paraId="15443E01">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上述“一、基金费用的种类”中第3－11项费用，根据有关法规及相应协议规定，按费用实际支出金额列入当期费用，由基金托管人从基金财产中支付。</w:t>
      </w:r>
    </w:p>
    <w:p w14:paraId="760B6502">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三、不列入基金费用的项目</w:t>
      </w:r>
    </w:p>
    <w:p w14:paraId="2E2EE3DB">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下列费用不列入基金费用：</w:t>
      </w:r>
    </w:p>
    <w:p w14:paraId="57E81236">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1、基金管理人和基金托管人因未履行或未完全履行义务导致的费用支出或基金财产的损失；</w:t>
      </w:r>
    </w:p>
    <w:p w14:paraId="7D0F90A8">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2、基金管理人和基金托管人处理与基金运作无关的事项发生的费用；</w:t>
      </w:r>
    </w:p>
    <w:p w14:paraId="592D8493">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3、《基金合同》生效前的相关费用；</w:t>
      </w:r>
    </w:p>
    <w:p w14:paraId="4243EBDF">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4、</w:t>
      </w:r>
      <w:bookmarkStart w:id="410" w:name="_Hlk55923757"/>
      <w:r>
        <w:rPr>
          <w:rFonts w:ascii="Times New Roman" w:cs="Times New Roman" w:hAnsi="Times New Roman"/>
          <w:bCs/>
          <w:szCs w:val="21"/>
          <w:lang w:eastAsia="zh-CN"/>
        </w:rPr>
        <w:t>标的指数许可使用费。标的指数许可使用费由基金管理人承担，不得从基金财产中列支；</w:t>
      </w:r>
    </w:p>
    <w:p w14:paraId="42BC9624">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5、</w:t>
      </w:r>
      <w:bookmarkEnd w:id="410"/>
      <w:r>
        <w:rPr>
          <w:rFonts w:ascii="Times New Roman" w:cs="Times New Roman" w:hAnsi="Times New Roman"/>
          <w:bCs/>
          <w:szCs w:val="21"/>
          <w:lang w:eastAsia="zh-CN"/>
        </w:rPr>
        <w:t>其他根据相关法律法规及中国证监会的有关规定不得列入基金费用的项目。</w:t>
      </w:r>
    </w:p>
    <w:bookmarkEnd w:id="403"/>
    <w:p w14:paraId="57D8AB88">
      <w:pPr>
        <w:spacing w:after="0" w:line="360" w:lineRule="auto"/>
        <w:ind w:firstLine="473"/>
        <w:rPr>
          <w:rFonts w:ascii="Times New Roman" w:cs="Times New Roman" w:hAnsi="Times New Roman"/>
          <w:bCs/>
          <w:szCs w:val="21"/>
          <w:lang w:eastAsia="zh-CN"/>
        </w:rPr>
      </w:pPr>
      <w:bookmarkStart w:id="411" w:name="_Hlt88827255"/>
      <w:bookmarkEnd w:id="411"/>
      <w:r>
        <w:rPr>
          <w:rFonts w:ascii="Times New Roman" w:cs="Times New Roman" w:hAnsi="Times New Roman"/>
          <w:bCs/>
          <w:szCs w:val="21"/>
          <w:lang w:eastAsia="zh-CN"/>
        </w:rPr>
        <w:t>四、基金税收</w:t>
      </w:r>
    </w:p>
    <w:p w14:paraId="2E39730C">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6CFF69C0">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br w:type="page"/>
      </w:r>
      <w:bookmarkStart w:id="412" w:name="_Toc14078734"/>
    </w:p>
    <w:p w14:paraId="1D88D527">
      <w:pPr>
        <w:pStyle w:val="Heading1"/>
        <w:spacing w:after="0" w:before="0"/>
        <w:jc w:val="center"/>
        <w:rPr>
          <w:rFonts w:ascii="Times New Roman" w:cs="Times New Roman" w:hAnsi="Times New Roman"/>
          <w:color w:val="auto"/>
          <w:sz w:val="21"/>
          <w:szCs w:val="21"/>
          <w:lang w:eastAsia="zh-CN"/>
        </w:rPr>
      </w:pPr>
      <w:bookmarkStart w:id="413" w:name="_Toc93226149"/>
      <w:bookmarkStart w:id="414" w:name="_Toc92662707"/>
      <w:bookmarkStart w:id="415" w:name="_Toc20052"/>
      <w:bookmarkStart w:id="416" w:name="_Toc178"/>
      <w:bookmarkStart w:id="417" w:name="_Toc22552"/>
      <w:bookmarkStart w:id="418" w:name="_Toc1617"/>
      <w:bookmarkStart w:id="419" w:name="_Toc21829"/>
      <w:bookmarkStart w:id="420" w:name="_Toc15351"/>
      <w:bookmarkStart w:id="421" w:name="_Toc11159940"/>
      <w:bookmarkStart w:id="422" w:name="_Toc3656"/>
      <w:bookmarkStart w:id="423" w:name="_Toc139991746"/>
      <w:bookmarkStart w:id="424" w:name="_Toc19558"/>
      <w:bookmarkStart w:id="425" w:name="_Toc128310499"/>
      <w:bookmarkStart w:id="426" w:name="_Toc57364986"/>
      <w:bookmarkStart w:id="427" w:name="_Toc141703896"/>
      <w:bookmarkStart w:id="428" w:name="_Toc12761"/>
      <w:bookmarkStart w:id="429" w:name="_Toc25883"/>
      <w:bookmarkStart w:id="430" w:name="_Toc15525"/>
      <w:bookmarkStart w:id="431" w:name="_Toc100246532"/>
      <w:r>
        <w:rPr>
          <w:rFonts w:ascii="Times New Roman" w:cs="Times New Roman" w:hAnsi="Times New Roman"/>
          <w:color w:val="auto"/>
          <w:sz w:val="21"/>
          <w:szCs w:val="21"/>
          <w:lang w:eastAsia="zh-CN"/>
        </w:rPr>
        <w:t>第十七部分  基金</w:t>
      </w:r>
      <w:bookmarkEnd w:id="413"/>
      <w:bookmarkEnd w:id="414"/>
      <w:r>
        <w:rPr>
          <w:rFonts w:ascii="Times New Roman" w:cs="Times New Roman" w:hAnsi="Times New Roman"/>
          <w:color w:val="auto"/>
          <w:sz w:val="21"/>
          <w:szCs w:val="21"/>
          <w:lang w:eastAsia="zh-CN"/>
        </w:rPr>
        <w:t>的收益与分配</w:t>
      </w:r>
      <w:bookmarkEnd w:id="412"/>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2565E9F3">
      <w:pPr>
        <w:spacing w:after="0"/>
        <w:rPr>
          <w:rFonts w:ascii="Times New Roman" w:cs="Times New Roman" w:hAnsi="Times New Roman"/>
          <w:bCs/>
          <w:szCs w:val="21"/>
          <w:lang w:eastAsia="zh-CN"/>
        </w:rPr>
      </w:pPr>
    </w:p>
    <w:p w14:paraId="51CCCC45">
      <w:pPr>
        <w:spacing w:after="0" w:line="360" w:lineRule="auto"/>
        <w:ind w:firstLine="473"/>
        <w:rPr>
          <w:rFonts w:ascii="Times New Roman" w:cs="Times New Roman" w:hAnsi="Times New Roman"/>
          <w:szCs w:val="21"/>
          <w:lang w:eastAsia="zh-CN"/>
        </w:rPr>
      </w:pPr>
      <w:bookmarkStart w:id="432" w:name="_Hlk149132246"/>
      <w:r>
        <w:rPr>
          <w:rFonts w:ascii="Times New Roman" w:cs="Times New Roman" w:hAnsi="Times New Roman"/>
          <w:szCs w:val="21"/>
          <w:lang w:eastAsia="zh-CN"/>
        </w:rPr>
        <w:t>一、基金收益分配原则</w:t>
      </w:r>
    </w:p>
    <w:p w14:paraId="38C5475D">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1、每一基金份额享有同等分配权。</w:t>
      </w:r>
    </w:p>
    <w:p w14:paraId="034F7B87">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2、</w:t>
      </w:r>
      <w:r>
        <w:rPr>
          <w:rFonts w:ascii="Times New Roman" w:cs="Times New Roman" w:hAnsi="Times New Roman" w:hint="eastAsia"/>
          <w:szCs w:val="21"/>
          <w:lang w:eastAsia="zh-CN"/>
        </w:rPr>
        <w:t>当基金累计报酬率超过同期标的指数累计报酬率时</w:t>
      </w:r>
      <w:r>
        <w:rPr>
          <w:rFonts w:ascii="Times New Roman" w:cs="Times New Roman" w:hAnsi="Times New Roman"/>
          <w:szCs w:val="21"/>
          <w:lang w:eastAsia="zh-CN"/>
        </w:rPr>
        <w:t>，可进行收益分配。</w:t>
      </w:r>
    </w:p>
    <w:p w14:paraId="1B429B20">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3、若《基金合同》生效不满3个月可不进行收益分配。</w:t>
      </w:r>
    </w:p>
    <w:p w14:paraId="6545CD21">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4、本基金收益分配采用现金方式。</w:t>
      </w:r>
    </w:p>
    <w:p w14:paraId="41DB45CD">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5、在符合基金收益分配条件的情况下，</w:t>
      </w:r>
      <w:r>
        <w:rPr>
          <w:rFonts w:ascii="Times New Roman" w:cs="Times New Roman" w:hAnsi="Times New Roman" w:hint="eastAsia"/>
          <w:szCs w:val="21"/>
          <w:lang w:eastAsia="zh-CN"/>
        </w:rPr>
        <w:t>基金管理人可以根据实际情况进行收益分配，具体分配方案以公告为准</w:t>
      </w:r>
      <w:r>
        <w:rPr>
          <w:rFonts w:ascii="Times New Roman" w:cs="Times New Roman" w:hAnsi="Times New Roman"/>
          <w:szCs w:val="21"/>
          <w:lang w:eastAsia="zh-CN"/>
        </w:rPr>
        <w:t>。基于本基金的性质和特点，本基金收益分配不须以弥补浮动亏损为前提，收益分配后有可能使基金份额净值低于面值。</w:t>
      </w:r>
    </w:p>
    <w:p w14:paraId="1411A902">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6、法律法规、监管机关、登记机构、</w:t>
      </w:r>
      <w:r>
        <w:rPr>
          <w:rFonts w:ascii="Times New Roman" w:cs="Times New Roman" w:hAnsi="Times New Roman" w:hint="eastAsia"/>
          <w:szCs w:val="21"/>
          <w:lang w:eastAsia="zh-CN"/>
        </w:rPr>
        <w:t>深圳</w:t>
      </w:r>
      <w:r>
        <w:rPr>
          <w:rFonts w:ascii="Times New Roman" w:cs="Times New Roman" w:hAnsi="Times New Roman"/>
          <w:szCs w:val="21"/>
          <w:lang w:eastAsia="zh-CN"/>
        </w:rPr>
        <w:t>证券交易所另有规定的，从其规定。</w:t>
      </w:r>
    </w:p>
    <w:p w14:paraId="048D7BE9">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在不违反法律法规且对现有基金份额持有人利益无实质不利影响的情况下，基金管理人经与基金托管人协商一致并按照监管部门要求履行适当程序后可对基金收益分配原则进行调整，</w:t>
      </w:r>
      <w:r>
        <w:rPr>
          <w:rFonts w:ascii="Times New Roman" w:cs="Times New Roman" w:hAnsi="Times New Roman" w:hint="eastAsia"/>
          <w:szCs w:val="21"/>
          <w:lang w:eastAsia="zh-CN"/>
        </w:rPr>
        <w:t>并</w:t>
      </w:r>
      <w:r>
        <w:rPr>
          <w:rFonts w:ascii="Times New Roman" w:cs="Times New Roman" w:hAnsi="Times New Roman"/>
          <w:szCs w:val="21"/>
          <w:lang w:eastAsia="zh-CN"/>
        </w:rPr>
        <w:t>应于变更实施日前在规定媒介公告。</w:t>
      </w:r>
    </w:p>
    <w:p w14:paraId="42D74660">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二、收益分配方案</w:t>
      </w:r>
    </w:p>
    <w:p w14:paraId="57B3BB92">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基金收益分配方案中应载明基金收益分配对象、分配时间、分配数额及比例、分配方式等内容。</w:t>
      </w:r>
    </w:p>
    <w:p w14:paraId="252FC30E">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三、收益分配方案的确定、公告与实施</w:t>
      </w:r>
    </w:p>
    <w:p w14:paraId="345AC2F5">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本基金收益分配方案由基金管理人拟定，并由基金托管人复核，依照《信息披露办法》的有关规定在规定媒介公告。</w:t>
      </w:r>
    </w:p>
    <w:bookmarkEnd w:id="432"/>
    <w:p w14:paraId="18F606CD">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四、基金收益分配中发生的费用</w:t>
      </w:r>
    </w:p>
    <w:p w14:paraId="316F9920">
      <w:pPr>
        <w:spacing w:after="0" w:line="360" w:lineRule="auto"/>
        <w:ind w:firstLine="473"/>
        <w:rPr>
          <w:rFonts w:ascii="Times New Roman" w:cs="Times New Roman" w:hAnsi="Times New Roman"/>
          <w:bCs/>
          <w:szCs w:val="21"/>
          <w:lang w:eastAsia="zh-CN"/>
        </w:rPr>
      </w:pPr>
      <w:r>
        <w:rPr>
          <w:rFonts w:ascii="Times New Roman" w:cs="Times New Roman" w:hAnsi="Times New Roman"/>
          <w:bCs/>
          <w:szCs w:val="21"/>
          <w:lang w:eastAsia="zh-CN"/>
        </w:rPr>
        <w:t>基金收益分配时所发生的银行转账或其他手续费用由投资者自行承担。</w:t>
      </w:r>
    </w:p>
    <w:p w14:paraId="21523260">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433" w:name="_Toc93226150"/>
      <w:bookmarkStart w:id="434" w:name="_Toc92662708"/>
      <w:bookmarkStart w:id="435" w:name="_Toc17499"/>
      <w:bookmarkStart w:id="436" w:name="_Toc128310500"/>
      <w:bookmarkStart w:id="437" w:name="_Toc23859"/>
      <w:bookmarkStart w:id="438" w:name="_Toc29695"/>
      <w:bookmarkStart w:id="439" w:name="_Toc14078735"/>
      <w:bookmarkStart w:id="440" w:name="_Toc141703897"/>
      <w:bookmarkStart w:id="441" w:name="_Toc13255"/>
      <w:bookmarkStart w:id="442" w:name="_Toc1043"/>
      <w:bookmarkStart w:id="443" w:name="_Toc18747"/>
      <w:bookmarkStart w:id="444" w:name="_Toc57364987"/>
      <w:bookmarkStart w:id="445" w:name="_Toc100246533"/>
      <w:bookmarkStart w:id="446" w:name="_Toc21206"/>
      <w:bookmarkStart w:id="447" w:name="_Toc10894"/>
      <w:bookmarkStart w:id="448" w:name="_Toc11159941"/>
      <w:bookmarkStart w:id="449" w:name="_Toc18007"/>
      <w:bookmarkStart w:id="450" w:name="_Toc28961"/>
      <w:bookmarkStart w:id="451" w:name="_Toc139991747"/>
      <w:bookmarkStart w:id="452" w:name="_Toc31736"/>
      <w:r>
        <w:rPr>
          <w:rFonts w:ascii="Times New Roman" w:cs="Times New Roman" w:hAnsi="Times New Roman"/>
          <w:color w:val="auto"/>
          <w:sz w:val="21"/>
          <w:szCs w:val="21"/>
          <w:lang w:eastAsia="zh-CN"/>
        </w:rPr>
        <w:t>第十八部分  基金</w:t>
      </w:r>
      <w:bookmarkEnd w:id="433"/>
      <w:bookmarkEnd w:id="434"/>
      <w:r>
        <w:rPr>
          <w:rFonts w:ascii="Times New Roman" w:cs="Times New Roman" w:hAnsi="Times New Roman"/>
          <w:color w:val="auto"/>
          <w:sz w:val="21"/>
          <w:szCs w:val="21"/>
          <w:lang w:eastAsia="zh-CN"/>
        </w:rPr>
        <w:t>的会计与审计</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696346DE">
      <w:pPr>
        <w:spacing w:after="0" w:line="360" w:lineRule="auto"/>
        <w:ind w:firstLine="420"/>
        <w:rPr>
          <w:rFonts w:ascii="Times New Roman" w:cs="Times New Roman" w:hAnsi="Times New Roman"/>
          <w:bCs/>
          <w:szCs w:val="21"/>
          <w:lang w:eastAsia="zh-CN"/>
        </w:rPr>
      </w:pPr>
    </w:p>
    <w:p w14:paraId="20A2A31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一、基金会计政策</w:t>
      </w:r>
    </w:p>
    <w:p w14:paraId="1A58820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1、基金管理人为本基金的基金会计责任方；</w:t>
      </w:r>
    </w:p>
    <w:p w14:paraId="50810EF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2、基金的会计年度为公历年度的1月1日至12月31日；</w:t>
      </w:r>
    </w:p>
    <w:p w14:paraId="02293F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3、基金核算以人民币为记账本位币，以人民币元为记账单位；</w:t>
      </w:r>
    </w:p>
    <w:p w14:paraId="036D5D3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4、会计制度执行国家有关会计制度；</w:t>
      </w:r>
    </w:p>
    <w:p w14:paraId="159CBE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5、本基金独立建账、独立核算；</w:t>
      </w:r>
    </w:p>
    <w:p w14:paraId="3944161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6、基金管理人及基金托管人各自保留完整的会计账目、凭证并进行日常的会计核算，按照有关规定编制基金会计报表；</w:t>
      </w:r>
    </w:p>
    <w:p w14:paraId="041061C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7、基金托管人每月与基金管理人就基金的会计核算、报表编制等进行核对并以书面方式确认。</w:t>
      </w:r>
    </w:p>
    <w:p w14:paraId="0383392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二、基金的年度审计</w:t>
      </w:r>
    </w:p>
    <w:p w14:paraId="5C335EC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1、基金管理人聘请与基金管理人、基金托管人相互独立的符合《证券法》规定的会计师事务所及其注册会计师对本基金的年度财务报表进行审计。</w:t>
      </w:r>
    </w:p>
    <w:p w14:paraId="39C9116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2、会计师事务所更换经办注册会计师，应事先征得基金管理人同意。</w:t>
      </w:r>
    </w:p>
    <w:p w14:paraId="71AD6CF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w:t>
      </w:r>
      <w:bookmarkStart w:id="453" w:name="_Hlt4221115"/>
      <w:bookmarkEnd w:id="453"/>
      <w:r>
        <w:rPr>
          <w:rFonts w:ascii="Times New Roman" w:cs="Times New Roman" w:hAnsi="Times New Roman"/>
          <w:bCs/>
          <w:szCs w:val="21"/>
          <w:lang w:eastAsia="zh-CN"/>
        </w:rPr>
        <w:t>基金管理人认为有充足理由更换会计师事务所，须通报基金托管人。更换会计师事务所需按照《信息披露办法》的有关规定在规定媒介公告。</w:t>
      </w:r>
    </w:p>
    <w:p w14:paraId="253A23B0">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454" w:name="_Toc92662709"/>
      <w:bookmarkStart w:id="455" w:name="_Toc93226151"/>
      <w:bookmarkStart w:id="456" w:name="_Toc21351"/>
      <w:bookmarkStart w:id="457" w:name="_Toc3056"/>
      <w:bookmarkStart w:id="458" w:name="_Toc193"/>
      <w:bookmarkStart w:id="459" w:name="_Toc8512"/>
      <w:bookmarkStart w:id="460" w:name="_Toc1173"/>
      <w:bookmarkStart w:id="461" w:name="_Toc1421"/>
      <w:bookmarkStart w:id="462" w:name="_Toc31866"/>
      <w:bookmarkStart w:id="463" w:name="_Toc57364988"/>
      <w:bookmarkStart w:id="464" w:name="_Toc11049"/>
      <w:bookmarkStart w:id="465" w:name="_Toc14078736"/>
      <w:bookmarkStart w:id="466" w:name="_Toc11159942"/>
      <w:bookmarkStart w:id="467" w:name="_Toc12028"/>
      <w:bookmarkStart w:id="468" w:name="_Toc29289"/>
      <w:bookmarkStart w:id="469" w:name="_Toc128310501"/>
      <w:bookmarkStart w:id="470" w:name="_Toc141703898"/>
      <w:bookmarkStart w:id="471" w:name="_Toc11802"/>
      <w:bookmarkStart w:id="472" w:name="_Toc100246534"/>
      <w:bookmarkStart w:id="473" w:name="_Toc139991748"/>
      <w:r>
        <w:rPr>
          <w:rFonts w:ascii="Times New Roman" w:cs="Times New Roman" w:hAnsi="Times New Roman"/>
          <w:color w:val="auto"/>
          <w:sz w:val="21"/>
          <w:szCs w:val="21"/>
          <w:lang w:eastAsia="zh-CN"/>
        </w:rPr>
        <w:t>第十九部分  基金</w:t>
      </w:r>
      <w:bookmarkEnd w:id="454"/>
      <w:bookmarkEnd w:id="455"/>
      <w:r>
        <w:rPr>
          <w:rFonts w:ascii="Times New Roman" w:cs="Times New Roman" w:hAnsi="Times New Roman"/>
          <w:color w:val="auto"/>
          <w:sz w:val="21"/>
          <w:szCs w:val="21"/>
          <w:lang w:eastAsia="zh-CN"/>
        </w:rPr>
        <w:t>的信息披露</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4277D667">
      <w:pPr>
        <w:spacing w:after="0" w:line="360" w:lineRule="auto"/>
        <w:ind w:firstLine="420"/>
        <w:rPr>
          <w:rFonts w:ascii="Times New Roman" w:cs="Times New Roman" w:hAnsi="Times New Roman"/>
          <w:bCs/>
          <w:szCs w:val="21"/>
          <w:lang w:eastAsia="zh-CN"/>
        </w:rPr>
      </w:pPr>
    </w:p>
    <w:p w14:paraId="0A69017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一、本基金的信息披露应符合《基金法》、《运作办法》、《信息披露办法》、《流动性风险管理规定》、《基金合同》及其他有关规定。相关法律法规关于信息披露的规定发生变化时，本基金从其最新规定。</w:t>
      </w:r>
    </w:p>
    <w:p w14:paraId="796AEA9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二、信息披露义务人</w:t>
      </w:r>
    </w:p>
    <w:p w14:paraId="15B7201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本基金信息披露义务人包括基金管理人、基金托管人、召集基金份额持有人大会的基金份额持有人等法律、行政法规和中国证监会规定的自然人、法人和非法人组织。</w:t>
      </w:r>
    </w:p>
    <w:p w14:paraId="2D57D04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本基金信息披露义务人应当以保护基金份额持有人利益为根本出发点，按照法律、行政法规和中国证监会的规定披露基金信息，并保证所披露信息的真实性、准确性、完整性、及时性、简明性和易得性。</w:t>
      </w:r>
    </w:p>
    <w:p w14:paraId="1CDE022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0C06055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三、本基金信息披露义务人承诺公开披露的基金信息，不得有下列行为：</w:t>
      </w:r>
    </w:p>
    <w:p w14:paraId="5E0691C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1、虚假记载、误导性陈述或者重大遗漏；</w:t>
      </w:r>
    </w:p>
    <w:p w14:paraId="3D1420B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2、对证券投资业绩进行预测；</w:t>
      </w:r>
    </w:p>
    <w:p w14:paraId="4838E68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3、违规承诺收益或者承担损失；</w:t>
      </w:r>
    </w:p>
    <w:p w14:paraId="49EF8F4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4、诋毁其他基金管理人、基金托管人或者基金销售机构；</w:t>
      </w:r>
    </w:p>
    <w:p w14:paraId="0659257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5、登载任何自然人、法人和非法人组织的祝贺性、恭维性或推荐性文字；</w:t>
      </w:r>
    </w:p>
    <w:p w14:paraId="24FDF07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6、法律、行政法规或中国证监会禁止的其他行为。</w:t>
      </w:r>
    </w:p>
    <w:p w14:paraId="3CFEB03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四、本基金公开披露的信息应采用中文文本。如同时采用外文文本的，基金信息披露义务人应保证不同文本的内容一致。不同文本之间发生歧义的，以中文文本为准。</w:t>
      </w:r>
    </w:p>
    <w:p w14:paraId="11BBF80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本基金公开披露的信息采用阿拉伯数字；除特别说明外，货币单位为人民币元。</w:t>
      </w:r>
    </w:p>
    <w:p w14:paraId="7327765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五、公开披露的基金信息</w:t>
      </w:r>
    </w:p>
    <w:p w14:paraId="4BF3D83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公开披露的基金信息包括：</w:t>
      </w:r>
    </w:p>
    <w:p w14:paraId="64BADCD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（一）基金招募说明书、《基金合同》、基金托管协议、基金产品资料概要</w:t>
      </w:r>
    </w:p>
    <w:p w14:paraId="6FB7380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1、《基金合同》是界定《基金合同》当事人的各项权利、义务关系，明确基金份额持有人大会召开的规则及具体程序，说明基金产品的特性等涉及基金投资者重大利益的事项的法律文件。</w:t>
      </w:r>
    </w:p>
    <w:p w14:paraId="62ECBA5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招募说明书应当根据法律法规最大限度地披露影响基金投资者决策的全部事项，说明基金认购、申购和赎回安排、基金投资、基金产品特性、风险揭示、信息披露及基金份额持有人服务等内容。《基金合同》生效后，基金招募说明书</w:t>
      </w:r>
      <w:bookmarkStart w:id="474" w:name="_Hlk15582167"/>
      <w:r>
        <w:rPr>
          <w:rFonts w:ascii="Times New Roman" w:cs="Times New Roman" w:hAnsi="Times New Roman"/>
          <w:bCs/>
          <w:szCs w:val="21"/>
          <w:lang w:eastAsia="zh-CN"/>
        </w:rPr>
        <w:t>的信息发生重大变更的，</w:t>
      </w:r>
      <w:bookmarkEnd w:id="474"/>
      <w:r>
        <w:rPr>
          <w:rFonts w:ascii="Times New Roman" w:cs="Times New Roman" w:hAnsi="Times New Roman"/>
          <w:bCs/>
          <w:szCs w:val="21"/>
          <w:lang w:eastAsia="zh-CN"/>
        </w:rPr>
        <w:t>基金管理人应当在3个工作日内，更新基金招募说明书并登载在规定网站上；基金招募说明书其他信息发生变更的，基金管理人至少每年更新一次。基金合同终止的，基金管理人不再更新基金招募说明书。</w:t>
      </w:r>
    </w:p>
    <w:p w14:paraId="2EB62B3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3、基金托管协议是界定基金托管人和基金管理人在基金财产保管及基金运作监督等活动中的权利、义务关系的法律文件。</w:t>
      </w:r>
    </w:p>
    <w:p w14:paraId="1DA4EE5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4、基金产品资料概要</w:t>
      </w:r>
      <w:bookmarkStart w:id="475" w:name="_Hlk21525900"/>
      <w:r>
        <w:rPr>
          <w:rFonts w:ascii="Times New Roman" w:cs="Times New Roman" w:hAnsi="Times New Roman"/>
          <w:bCs/>
          <w:szCs w:val="21"/>
          <w:lang w:eastAsia="zh-CN"/>
        </w:rPr>
        <w:t>是基金</w:t>
      </w:r>
      <w:bookmarkStart w:id="476" w:name="_Hlk23782834"/>
      <w:r>
        <w:rPr>
          <w:rFonts w:ascii="Times New Roman" w:cs="Times New Roman" w:hAnsi="Times New Roman"/>
          <w:bCs/>
          <w:szCs w:val="21"/>
          <w:lang w:eastAsia="zh-CN"/>
        </w:rPr>
        <w:t>招募说明书的摘要文件，用于向投资者提供简明的基金概要信息。《基金合同》生效后，</w:t>
      </w:r>
      <w:bookmarkEnd w:id="476"/>
      <w:r>
        <w:rPr>
          <w:rFonts w:ascii="Times New Roman" w:cs="Times New Roman" w:hAnsi="Times New Roman"/>
          <w:bCs/>
          <w:szCs w:val="21"/>
          <w:lang w:eastAsia="zh-CN"/>
        </w:rPr>
        <w:t>基金产品资料概要的信息发生重大变更的，基金管理人应当在3个工作日内，更新基金产品资料概要，并登载在规定网站和基金销售机构网站或营业网点；基金产品资料概要其他信息发生变更的，基金管理人至少每年更新一次。基金合同终止的，基金管理人不再更新基金产品资料概要。</w:t>
      </w:r>
    </w:p>
    <w:p w14:paraId="5B586821">
      <w:pPr>
        <w:spacing w:after="0" w:line="360" w:lineRule="auto"/>
        <w:ind w:firstLine="420"/>
        <w:rPr>
          <w:rFonts w:ascii="Times New Roman" w:cs="Times New Roman" w:hAnsi="Times New Roman"/>
          <w:bCs/>
          <w:szCs w:val="21"/>
          <w:lang w:eastAsia="zh-CN"/>
        </w:rPr>
      </w:pPr>
      <w:bookmarkStart w:id="477" w:name="_Hlk23782936"/>
      <w:r>
        <w:rPr>
          <w:rFonts w:ascii="Times New Roman" w:cs="Times New Roman" w:hAnsi="Times New Roman"/>
          <w:bCs/>
          <w:szCs w:val="21"/>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bookmarkEnd w:id="475"/>
      <w:bookmarkEnd w:id="477"/>
    </w:p>
    <w:p w14:paraId="699FA2B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（二）基金份额发售公告</w:t>
      </w:r>
    </w:p>
    <w:p w14:paraId="2C3303F4">
      <w:pPr>
        <w:spacing w:after="0" w:line="360" w:lineRule="auto"/>
        <w:ind w:firstLine="420"/>
        <w:rPr>
          <w:rFonts w:ascii="Times New Roman" w:cs="Times New Roman" w:hAnsi="Times New Roman"/>
          <w:bCs/>
          <w:szCs w:val="21"/>
          <w:lang w:eastAsia="zh-CN"/>
        </w:rPr>
      </w:pPr>
      <w:bookmarkStart w:id="478" w:name="_Hlk21525958"/>
      <w:r>
        <w:rPr>
          <w:rFonts w:ascii="Times New Roman" w:cs="Times New Roman" w:hAnsi="Times New Roman"/>
          <w:bCs/>
          <w:szCs w:val="21"/>
          <w:lang w:eastAsia="zh-CN"/>
        </w:rPr>
        <w:t>基金管理人应当就基金份额发售的具体事宜编制基金份额发售公告，并在披露招募说明书的当日登载于规定媒介上。</w:t>
      </w:r>
      <w:bookmarkEnd w:id="478"/>
    </w:p>
    <w:p w14:paraId="3C2B7292">
      <w:pPr>
        <w:spacing w:after="0" w:line="360" w:lineRule="auto"/>
        <w:ind w:firstLine="420"/>
        <w:rPr>
          <w:rFonts w:ascii="Times New Roman" w:cs="Times New Roman" w:hAnsi="Times New Roman"/>
          <w:bCs/>
          <w:szCs w:val="21"/>
        </w:rPr>
      </w:pPr>
      <w:r>
        <w:rPr>
          <w:rFonts w:ascii="Times New Roman" w:cs="Times New Roman" w:hAnsi="Times New Roman"/>
          <w:bCs/>
          <w:szCs w:val="21"/>
        </w:rPr>
        <w:t>（三）《基金合同》生效公告</w:t>
      </w:r>
    </w:p>
    <w:p w14:paraId="69D717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基金管理人应当在收到中国证监会确认文件的次日在规定媒介上登载《基金合同》生效公告。</w:t>
      </w:r>
    </w:p>
    <w:p w14:paraId="7B9DB53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（四）基金份额上市交易公告书</w:t>
      </w:r>
    </w:p>
    <w:p w14:paraId="6C3D82A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基金份额获准在</w:t>
      </w:r>
      <w:r>
        <w:rPr>
          <w:rFonts w:ascii="Times New Roman" w:cs="Times New Roman" w:hAnsi="Times New Roman" w:hint="eastAsia"/>
          <w:szCs w:val="21"/>
          <w:lang w:eastAsia="zh-CN"/>
        </w:rPr>
        <w:t>深圳</w:t>
      </w:r>
      <w:r>
        <w:rPr>
          <w:rFonts w:ascii="Times New Roman" w:cs="Times New Roman" w:hAnsi="Times New Roman"/>
          <w:bCs/>
          <w:szCs w:val="21"/>
          <w:lang w:eastAsia="zh-CN"/>
        </w:rPr>
        <w:t>证券交易所上市交易的，基金管理人应当在基金份额上市交易的三个工作日前，将基金份额上市交易公告书登载在规定网站上，并将上市交易公告书提示性公告登载在规定报刊上。</w:t>
      </w:r>
    </w:p>
    <w:p w14:paraId="0ECA16C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（五）基金净值信息</w:t>
      </w:r>
    </w:p>
    <w:p w14:paraId="79D80570">
      <w:pPr>
        <w:spacing w:after="0" w:line="360" w:lineRule="auto"/>
        <w:ind w:firstLine="420"/>
        <w:rPr>
          <w:rFonts w:ascii="Times New Roman" w:cs="Times New Roman" w:hAnsi="Times New Roman"/>
          <w:bCs/>
          <w:szCs w:val="21"/>
          <w:lang w:eastAsia="zh-CN"/>
        </w:rPr>
      </w:pPr>
      <w:bookmarkStart w:id="479" w:name="_Hlk149132379"/>
      <w:r>
        <w:rPr>
          <w:rFonts w:ascii="Times New Roman" w:cs="Times New Roman" w:hAnsi="Times New Roman"/>
          <w:bCs/>
          <w:szCs w:val="21"/>
          <w:lang w:eastAsia="zh-CN"/>
        </w:rPr>
        <w:t>《基金合同》生效后，在开始办理基金份额申购或者赎回前，基金管理人应当至少每周在规定网站披露一次基金份额净值和基金份额累计净值。</w:t>
      </w:r>
    </w:p>
    <w:p w14:paraId="6F55884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在开始办理基金份额申购或者赎回后，基金管理人应当在不晚于每个开放日的次日，通过规定网站、基金销售机构网站或者营业网点披露开放日的基金份额净值和基金份额累计净值。</w:t>
      </w:r>
    </w:p>
    <w:p w14:paraId="3F5A0FE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基金管理人应当在不晚于半年度和年度最后一日的次日，在规定网站披露半年度和年度最后一日的基金份额净值和基金份额累计净值。</w:t>
      </w:r>
    </w:p>
    <w:bookmarkEnd w:id="479"/>
    <w:p w14:paraId="7D2080A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（六）基金份额申购、赎回清单</w:t>
      </w:r>
    </w:p>
    <w:p w14:paraId="62F49D4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在开始办理基金份额申购或者赎回之后，基金管理人将在每个开放日通过网站或其他媒介公告当日的申购赎回清单。</w:t>
      </w:r>
    </w:p>
    <w:p w14:paraId="5D42642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w:t>
      </w:r>
      <w:bookmarkStart w:id="480" w:name="_Hlk141370120"/>
      <w:r>
        <w:rPr>
          <w:rFonts w:ascii="Times New Roman" w:cs="Times New Roman" w:hAnsi="Times New Roman"/>
          <w:bCs/>
          <w:szCs w:val="21"/>
          <w:lang w:eastAsia="zh-CN"/>
        </w:rPr>
        <w:t>基金定期报告，包括基金年度报告、基金中期报告和基金季度报告</w:t>
      </w:r>
      <w:bookmarkEnd w:id="480"/>
    </w:p>
    <w:p w14:paraId="5709820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每年结束之日起3个月内，编制完成基金年度报告，将年度报告登载在规定网站上，并将年度报告提示性公告登载在规定报刊上。基金年度报告中的财务会计报告应当经过符合《证券法》规定的会计师事务所审计。</w:t>
      </w:r>
    </w:p>
    <w:p w14:paraId="22CD965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基金管理人应当在上半年结束之日起2个月内，编制完成基金中期报告，将中期报告登载在规定网站上，并将中期报告提示性公告登载在规定报刊上。</w:t>
      </w:r>
    </w:p>
    <w:p w14:paraId="440E4F7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基金管理人应当在季度结束之日起15个工作日内，编制完成基金季度报告，将季度报告登载在规定网站上，并将季度报告提示性公告登载在规定报刊上。</w:t>
      </w:r>
    </w:p>
    <w:p w14:paraId="740C693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《基金合同》生效不足2个月的，基金管理人可以不编制当期季度报告、中期报告或者年度报告。</w:t>
      </w:r>
    </w:p>
    <w:p w14:paraId="1B2D580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基金管理人应当在基金年度报告和中期报告中披露基金组合资产情况及其流动性风险分析等。</w:t>
      </w:r>
    </w:p>
    <w:p w14:paraId="3596872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如报告期内出现单一投资者持有基金份额达到或超过基金总份额20%的情形，为保障其他投资者的权益，基金管理人至少应当在基金定期报告“影响投资者决策的其他重要信息”项下披露该投资者的类别、报告期末持有份额及占比、报告期内持有份额变化情况及本基金的特有风险，中国证监会认定的特殊情形除外。</w:t>
      </w:r>
    </w:p>
    <w:p w14:paraId="6ACC3DC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（八）临时报告</w:t>
      </w:r>
    </w:p>
    <w:p w14:paraId="386C09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本基金发生重大事件，有关信息披露义务人应当在2日内编制临时报告书，并登载在规定报刊和规定网站上。</w:t>
      </w:r>
    </w:p>
    <w:p w14:paraId="23A5779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前款所称重大事件，是指可能对基金份额持有人权益或者基金份额的价格产生重大影响的下列事件：</w:t>
      </w:r>
    </w:p>
    <w:p w14:paraId="1DE8E9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1、基金份额持有人大会的召开及决定的事项；</w:t>
      </w:r>
    </w:p>
    <w:p w14:paraId="0B42008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2、基金终止上市交易、《基金合同》终止、基金清算；</w:t>
      </w:r>
    </w:p>
    <w:p w14:paraId="7E1AFC3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3、转换基金运作方式、基金合并；</w:t>
      </w:r>
    </w:p>
    <w:p w14:paraId="6C4B3E5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4、更换基金管理人、基金托管人、基金份额登记机构，基金改聘会计师事务所；</w:t>
      </w:r>
    </w:p>
    <w:p w14:paraId="1DA2B65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5、基金管理人委托基金服务机构代为办理基金的份额登记、核算、估值等事项，基金托管人委托基金服务机构代为办理基金的核算、估值、复核等事项；</w:t>
      </w:r>
    </w:p>
    <w:p w14:paraId="063B014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6、基金管理人、基金托管人的法定名称、住所发生变更；</w:t>
      </w:r>
    </w:p>
    <w:p w14:paraId="20ABCA9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7、基金管理人变更持有百分之五以上股权的股东、变更公司的实际控制人；</w:t>
      </w:r>
    </w:p>
    <w:p w14:paraId="7987001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8、基金募集期延长或提前结束募集；</w:t>
      </w:r>
    </w:p>
    <w:p w14:paraId="4B1BE71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9、基金管理人高级管理人员、基金经理和基金托管人专门基金托管部门负责人发生变动；</w:t>
      </w:r>
    </w:p>
    <w:p w14:paraId="087C80A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10、基金管理人的董事在最近12个月内变更超过百分之五十，基金管理人、基金托管人专门基金托管部门的主要业务人员在最近12个月内变动超过百分之三十；</w:t>
      </w:r>
    </w:p>
    <w:p w14:paraId="2B6105E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11、涉及基金财产、基金管理业务、基金托管业务的诉讼或仲裁；</w:t>
      </w:r>
    </w:p>
    <w:p w14:paraId="442B2F7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12、基金管理人或其高级管理人员、基金经理因基金管理业务相关行为受到重大行政处罚、刑事处罚，基金托管人或其专门基金托管部门负责人因基金托管业务相关行为受到重大行政处罚、刑事处罚；</w:t>
      </w:r>
    </w:p>
    <w:p w14:paraId="47C931A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0C821DA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14、基金收益分配事项；</w:t>
      </w:r>
    </w:p>
    <w:p w14:paraId="76B81E3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15、管理费、托管费、申购费、赎回费等费用计提标准、计提方式和费率发生变更；</w:t>
      </w:r>
    </w:p>
    <w:p w14:paraId="106B93E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16、基金份额净值计价错误达基金份额净值百分之零点五；</w:t>
      </w:r>
    </w:p>
    <w:p w14:paraId="0A14A9E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17、本基金开始办理申购、赎回；</w:t>
      </w:r>
    </w:p>
    <w:p w14:paraId="55C6DF3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18、本基金暂停接受申购、赎回申请或重新接受申购、赎回申请；</w:t>
      </w:r>
    </w:p>
    <w:p w14:paraId="496EABE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19、基金变更标的指数；</w:t>
      </w:r>
    </w:p>
    <w:p w14:paraId="35C4C19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20、基金暂停上市、终止上市或恢复上市；</w:t>
      </w:r>
    </w:p>
    <w:p w14:paraId="5843721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21、基金份额的折算及变更登记；</w:t>
      </w:r>
    </w:p>
    <w:p w14:paraId="2E7C5A4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22、本基金发生涉及基金申购、赎回事项调整或潜在影响投资者赎回等重大事项；</w:t>
      </w:r>
    </w:p>
    <w:p w14:paraId="739F6C84">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23、基金推出新业务或服务；</w:t>
      </w:r>
    </w:p>
    <w:p w14:paraId="4612FC4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w:t>
      </w:r>
      <w:r>
        <w:rPr>
          <w:rFonts w:ascii="Times New Roman" w:cs="Times New Roman" w:hAnsi="Times New Roman" w:hint="eastAsia"/>
          <w:bCs/>
          <w:szCs w:val="21"/>
          <w:lang w:eastAsia="zh-CN"/>
        </w:rPr>
        <w:t>4</w:t>
      </w:r>
      <w:r>
        <w:rPr>
          <w:rFonts w:ascii="Times New Roman" w:cs="Times New Roman" w:hAnsi="Times New Roman"/>
          <w:bCs/>
          <w:szCs w:val="21"/>
          <w:lang w:eastAsia="zh-CN"/>
        </w:rPr>
        <w:t>、基金信息披露义务人认为可能对基金份额持有人权益或者基金份额的价格产生重大影响的其他事项或中国证监会规定的其他事项。</w:t>
      </w:r>
    </w:p>
    <w:p w14:paraId="616571E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（九）澄清公告</w:t>
      </w:r>
    </w:p>
    <w:p w14:paraId="0BD0A98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在基金合同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基金上市交易的证券交易所。</w:t>
      </w:r>
    </w:p>
    <w:p w14:paraId="5F037ED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（十）清算报告</w:t>
      </w:r>
    </w:p>
    <w:p w14:paraId="2427160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0A846B9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（十一）基金份额持有人大会决议</w:t>
      </w:r>
    </w:p>
    <w:p w14:paraId="1520A5C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基金份额持有人大会决定的事项，应当依法报中国证监会备案，并予以公告。</w:t>
      </w:r>
    </w:p>
    <w:p w14:paraId="2083701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（十二）</w:t>
      </w:r>
      <w:bookmarkStart w:id="481" w:name="_Hlk45108578"/>
      <w:r>
        <w:rPr>
          <w:rFonts w:ascii="Times New Roman" w:cs="Times New Roman" w:hAnsi="Times New Roman"/>
          <w:bCs/>
          <w:szCs w:val="21"/>
          <w:lang w:eastAsia="zh-CN"/>
        </w:rPr>
        <w:t>投资资产支持证券的相关公告</w:t>
      </w:r>
      <w:bookmarkEnd w:id="481"/>
    </w:p>
    <w:p w14:paraId="6D6F3AA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5F2A09E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（十三）</w:t>
      </w:r>
      <w:bookmarkStart w:id="482" w:name="_Hlk45108590"/>
      <w:r>
        <w:rPr>
          <w:rFonts w:ascii="Times New Roman" w:cs="Times New Roman" w:hAnsi="Times New Roman"/>
          <w:bCs/>
          <w:szCs w:val="21"/>
          <w:lang w:eastAsia="zh-CN"/>
        </w:rPr>
        <w:t>投资股指期货的相关公告</w:t>
      </w:r>
      <w:bookmarkEnd w:id="482"/>
    </w:p>
    <w:p w14:paraId="6ACA0E9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基金管理人应在季度报告、中期报告、年度报告等定期报告和招募说明书（更新）等文件中披露的股指期货交易情况，应当包括</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政策、持仓情况、损益情况、风险指标等，并充分揭示股指期货交易对本基金总体风险的影响以及是否符合既定的</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政策和</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目标等。</w:t>
      </w:r>
    </w:p>
    <w:p w14:paraId="649FDCB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（十四）</w:t>
      </w:r>
      <w:bookmarkStart w:id="483" w:name="_Hlk45108598"/>
      <w:r>
        <w:rPr>
          <w:rFonts w:ascii="Times New Roman" w:cs="Times New Roman" w:hAnsi="Times New Roman"/>
          <w:bCs/>
          <w:szCs w:val="21"/>
          <w:lang w:eastAsia="zh-CN"/>
        </w:rPr>
        <w:t>投资国债期货的相关公告</w:t>
      </w:r>
      <w:bookmarkEnd w:id="483"/>
    </w:p>
    <w:p w14:paraId="63E2B17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基金管理人应在季度报告、中期报告、年度报告等定期报告和招募说明书（更新）等文件中披露的国债期货交易情况，应当包括</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政策、持仓情况、损益情况、风险指标等，并充分揭示国债期货交易对本基金总体风险的影响以及是否符合既定的</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政策和</w:t>
      </w:r>
      <w:r>
        <w:rPr>
          <w:rFonts w:ascii="Times New Roman" w:cs="Times New Roman" w:hAnsi="Times New Roman" w:hint="eastAsia"/>
          <w:bCs/>
          <w:szCs w:val="21"/>
          <w:lang w:eastAsia="zh-CN"/>
        </w:rPr>
        <w:t>交易</w:t>
      </w:r>
      <w:r>
        <w:rPr>
          <w:rFonts w:ascii="Times New Roman" w:cs="Times New Roman" w:hAnsi="Times New Roman"/>
          <w:bCs/>
          <w:szCs w:val="21"/>
          <w:lang w:eastAsia="zh-CN"/>
        </w:rPr>
        <w:t>目标。</w:t>
      </w:r>
    </w:p>
    <w:p w14:paraId="0ABE23E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（十五）</w:t>
      </w:r>
      <w:bookmarkStart w:id="484" w:name="_Hlk45108610"/>
      <w:r>
        <w:rPr>
          <w:rFonts w:ascii="Times New Roman" w:cs="Times New Roman" w:hAnsi="Times New Roman"/>
          <w:bCs/>
          <w:szCs w:val="21"/>
          <w:lang w:eastAsia="zh-CN"/>
        </w:rPr>
        <w:t>投资股票期权的相关公告</w:t>
      </w:r>
      <w:bookmarkEnd w:id="484"/>
    </w:p>
    <w:p w14:paraId="3B74255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基金管理人应在定期信息披露文件中披露参与股票期权交易的有关情况，包括投资政策、持仓情况、损益情况、风险指标、估值方法等，并充分揭示股票期权交易对基金总体风险的影响等。</w:t>
      </w:r>
    </w:p>
    <w:p w14:paraId="71C86A7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（十六）</w:t>
      </w:r>
      <w:bookmarkStart w:id="485" w:name="_Hlk45108619"/>
      <w:r>
        <w:rPr>
          <w:rFonts w:ascii="Times New Roman" w:cs="Times New Roman" w:hAnsi="Times New Roman"/>
          <w:bCs/>
          <w:szCs w:val="21"/>
          <w:lang w:eastAsia="zh-CN"/>
        </w:rPr>
        <w:t>投资流通受限证券的相关公告</w:t>
      </w:r>
      <w:bookmarkEnd w:id="485"/>
    </w:p>
    <w:p w14:paraId="30A85EF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基金管理人应在基金投资非公开发行股票后两个交易日内，在中国证监会规定媒介披露所投资非公开发行股票的名称、数量、总成本、账面价值，以及总成本和账面价值占基金资产净值的比例、锁定期等信息。</w:t>
      </w:r>
    </w:p>
    <w:p w14:paraId="46503BE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（十七）</w:t>
      </w:r>
      <w:bookmarkStart w:id="486" w:name="_Hlk45108628"/>
      <w:bookmarkStart w:id="487" w:name="_Hlk23776193"/>
      <w:r>
        <w:rPr>
          <w:rFonts w:ascii="Times New Roman" w:cs="Times New Roman" w:hAnsi="Times New Roman"/>
          <w:bCs/>
          <w:szCs w:val="21"/>
          <w:lang w:eastAsia="zh-CN"/>
        </w:rPr>
        <w:t>参与融资及转融通证券出借业务的相关公告</w:t>
      </w:r>
      <w:bookmarkEnd w:id="486"/>
      <w:bookmarkEnd w:id="487"/>
    </w:p>
    <w:p w14:paraId="0F17687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应当在季度报告、中期报告和年度报告等定期报告和招募说明书（更新）等文件中披露参与融资及转融通证券出借业务的交易情况，包括投资策略、业务开展情况、损益情况、风险及其管理情况等，并就报告期内本基金参与转融通证券出借业务发生的重大关联交易事项做详细说明。</w:t>
      </w:r>
    </w:p>
    <w:p w14:paraId="100F324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（十八）中国证监会规定的其他信息。</w:t>
      </w:r>
    </w:p>
    <w:p w14:paraId="3208F5E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六、信息披露事务管理</w:t>
      </w:r>
    </w:p>
    <w:p w14:paraId="1CCF9C6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基金管理人、基金托管人应当建立健全信息披露管理制度，指定专门部门及高级管理人员负责管理信息披露事务。</w:t>
      </w:r>
    </w:p>
    <w:p w14:paraId="63AF04CF">
      <w:pPr>
        <w:spacing w:after="0" w:line="360" w:lineRule="auto"/>
        <w:ind w:firstLine="420"/>
        <w:rPr>
          <w:rFonts w:ascii="Times New Roman" w:cs="Times New Roman" w:hAnsi="Times New Roman"/>
          <w:bCs/>
          <w:szCs w:val="21"/>
          <w:lang w:eastAsia="zh-CN"/>
        </w:rPr>
      </w:pPr>
      <w:bookmarkStart w:id="488" w:name="_Hlk21526926"/>
      <w:r>
        <w:rPr>
          <w:rFonts w:ascii="Times New Roman" w:cs="Times New Roman" w:hAnsi="Times New Roman"/>
          <w:bCs/>
          <w:szCs w:val="21"/>
          <w:lang w:eastAsia="zh-CN"/>
        </w:rPr>
        <w:t>基金信息披露义务人公开披露基金信息，应当符合中国证监会相关基金信息披露内容与格式准则等法规的规定</w:t>
      </w:r>
      <w:bookmarkStart w:id="489" w:name="_Hlk29385291"/>
      <w:r>
        <w:rPr>
          <w:rFonts w:ascii="Times New Roman" w:cs="Times New Roman" w:hAnsi="Times New Roman"/>
          <w:bCs/>
          <w:szCs w:val="21"/>
          <w:lang w:eastAsia="zh-CN"/>
        </w:rPr>
        <w:t>以及证券交易所的自律管理规则</w:t>
      </w:r>
      <w:bookmarkEnd w:id="489"/>
      <w:r>
        <w:rPr>
          <w:rFonts w:ascii="Times New Roman" w:cs="Times New Roman" w:hAnsi="Times New Roman"/>
          <w:bCs/>
          <w:szCs w:val="21"/>
          <w:lang w:eastAsia="zh-CN"/>
        </w:rPr>
        <w:t>。</w:t>
      </w:r>
    </w:p>
    <w:p w14:paraId="4C5875A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托管人应当按照相关法律法规、中国证监会的规定和《基金合同》的约定，对基金管理人编制的基金资产净值、基金份额净值、基金定期报告、更新的招募说明书、基金产品资料概要、基金清算报告等公开披露的相关基金信息进行复核、审查，并向基金管理人进行书面或电子确认。</w:t>
      </w:r>
    </w:p>
    <w:p w14:paraId="78A67C8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26053B3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14:paraId="31BD688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bookmarkEnd w:id="488"/>
      <w:r>
        <w:rPr>
          <w:rFonts w:ascii="Times New Roman" w:cs="Times New Roman" w:hAnsi="Times New Roman"/>
          <w:bCs/>
          <w:szCs w:val="21"/>
          <w:lang w:eastAsia="zh-CN"/>
        </w:rPr>
        <w:t>为基金信息披露义务人公开披露的基金信息出具审计报告、法律意见书的专业机构，应当制作工作底稿，并将相关档案至少保存到《基金合同》终止后10年。</w:t>
      </w:r>
    </w:p>
    <w:p w14:paraId="4A60AC3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七、信息披露文件的存放与查阅</w:t>
      </w:r>
    </w:p>
    <w:p w14:paraId="79BB55E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依法必须披露的信息发布后，基金管理人、基金托管人应当按照相关法律法规规定将信息置备于公司住所、基金上市交易的证券交易所，供社会公众查阅、复制。</w:t>
      </w:r>
    </w:p>
    <w:p w14:paraId="22DC5BC9">
      <w:pPr>
        <w:spacing w:after="0" w:line="360" w:lineRule="auto"/>
        <w:ind w:firstLine="420"/>
        <w:rPr>
          <w:rFonts w:ascii="Times New Roman" w:cs="Times New Roman" w:hAnsi="Times New Roman"/>
          <w:bCs/>
          <w:szCs w:val="21"/>
          <w:lang w:eastAsia="zh-CN"/>
        </w:rPr>
      </w:pPr>
      <w:bookmarkStart w:id="490" w:name="_Toc14078737"/>
      <w:r>
        <w:rPr>
          <w:rFonts w:ascii="Times New Roman" w:cs="Times New Roman" w:hAnsi="Times New Roman" w:hint="eastAsia"/>
          <w:bCs/>
          <w:szCs w:val="21"/>
          <w:lang w:eastAsia="zh-CN"/>
        </w:rPr>
        <w:t>八</w:t>
      </w:r>
      <w:r>
        <w:rPr>
          <w:rFonts w:ascii="Times New Roman" w:cs="Times New Roman" w:hAnsi="Times New Roman"/>
          <w:bCs/>
          <w:szCs w:val="21"/>
          <w:lang w:eastAsia="zh-CN"/>
        </w:rPr>
        <w:t>、暂停或延迟信息披露的情形</w:t>
      </w:r>
    </w:p>
    <w:p w14:paraId="7AB9FD1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1、不可抗力；</w:t>
      </w:r>
    </w:p>
    <w:p w14:paraId="4C2E6737">
      <w:pPr>
        <w:spacing w:after="0" w:line="360" w:lineRule="auto"/>
        <w:ind w:firstLine="420"/>
        <w:rPr>
          <w:rFonts w:ascii="Times New Roman" w:cs="Times New Roman" w:hAnsi="Times New Roman"/>
          <w:bCs/>
          <w:szCs w:val="21"/>
          <w:lang w:eastAsia="zh-CN"/>
        </w:rPr>
      </w:pPr>
      <w:bookmarkStart w:id="491" w:name="_Hlk141370320"/>
      <w:r>
        <w:rPr>
          <w:rFonts w:ascii="Times New Roman" w:cs="Times New Roman" w:hAnsi="Times New Roman"/>
          <w:bCs/>
          <w:szCs w:val="21"/>
          <w:lang w:eastAsia="zh-CN"/>
        </w:rPr>
        <w:t>2、基金投资所涉及的证券/期货交易市场遇法定节假日或因其他原因暂停营业时；</w:t>
      </w:r>
      <w:bookmarkEnd w:id="491"/>
    </w:p>
    <w:p w14:paraId="2B3A948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w:t>
      </w:r>
      <w:r>
        <w:rPr>
          <w:rFonts w:ascii="Times New Roman" w:cs="Times New Roman" w:hAnsi="Times New Roman" w:hint="eastAsia"/>
          <w:bCs/>
          <w:szCs w:val="21"/>
          <w:lang w:eastAsia="zh-CN"/>
        </w:rPr>
        <w:t>出现基金管理人认为属于会导致基金管理人不能出售或评估基金资产的紧急事故的任何情况</w:t>
      </w:r>
      <w:r>
        <w:rPr>
          <w:rFonts w:ascii="Times New Roman" w:cs="Times New Roman" w:hAnsi="Times New Roman"/>
          <w:bCs/>
          <w:szCs w:val="21"/>
          <w:lang w:eastAsia="zh-CN"/>
        </w:rPr>
        <w:t>；</w:t>
      </w:r>
    </w:p>
    <w:p w14:paraId="015FE57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4、法律法规规定、中国证监会或基金合同</w:t>
      </w:r>
      <w:r>
        <w:rPr>
          <w:rFonts w:ascii="Times New Roman" w:cs="Times New Roman" w:hAnsi="Times New Roman" w:hint="eastAsia"/>
          <w:bCs/>
          <w:szCs w:val="21"/>
          <w:lang w:eastAsia="zh-CN"/>
        </w:rPr>
        <w:t>约</w:t>
      </w:r>
      <w:r>
        <w:rPr>
          <w:rFonts w:ascii="Times New Roman" w:cs="Times New Roman" w:hAnsi="Times New Roman"/>
          <w:bCs/>
          <w:szCs w:val="21"/>
          <w:lang w:eastAsia="zh-CN"/>
        </w:rPr>
        <w:t>定的其他情形。</w:t>
      </w:r>
      <w:bookmarkStart w:id="492" w:name="_Toc11113"/>
    </w:p>
    <w:p w14:paraId="56F1EBF4">
      <w:pPr>
        <w:spacing w:after="0" w:line="360" w:lineRule="auto"/>
        <w:ind w:firstLine="420"/>
        <w:rPr>
          <w:rFonts w:ascii="Times New Roman" w:cs="Times New Roman" w:hAnsi="Times New Roman"/>
          <w:bCs/>
          <w:szCs w:val="21"/>
          <w:lang w:eastAsia="zh-CN"/>
        </w:rPr>
      </w:pPr>
      <w:r>
        <w:rPr>
          <w:rFonts w:ascii="Times New Roman" w:cs="Times New Roman" w:hAnsi="Times New Roman" w:hint="eastAsia"/>
          <w:bCs/>
          <w:szCs w:val="21"/>
          <w:lang w:eastAsia="zh-CN"/>
        </w:rPr>
        <w:t>九</w:t>
      </w:r>
      <w:r>
        <w:rPr>
          <w:rFonts w:ascii="Times New Roman" w:cs="Times New Roman" w:hAnsi="Times New Roman"/>
          <w:bCs/>
          <w:szCs w:val="21"/>
          <w:lang w:eastAsia="zh-CN"/>
        </w:rPr>
        <w:t>、法律法规或监管部门对信息披露另有规定的，从其规定。</w:t>
      </w:r>
    </w:p>
    <w:p w14:paraId="19F5C98F">
      <w:pPr>
        <w:spacing w:after="0" w:line="360" w:lineRule="auto"/>
        <w:ind w:firstLine="420"/>
        <w:rPr>
          <w:rFonts w:ascii="Times New Roman" w:cs="Times New Roman" w:hAnsi="Times New Roman"/>
          <w:bCs/>
          <w:szCs w:val="21"/>
          <w:lang w:eastAsia="zh-CN"/>
        </w:rPr>
      </w:pPr>
    </w:p>
    <w:p w14:paraId="054230B2">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493" w:name="_Toc123102466"/>
      <w:bookmarkStart w:id="494" w:name="_Toc57364989"/>
      <w:bookmarkStart w:id="495" w:name="_Toc6237"/>
      <w:bookmarkStart w:id="496" w:name="_Toc22978"/>
      <w:bookmarkStart w:id="497" w:name="_Toc25647"/>
      <w:bookmarkStart w:id="498" w:name="_Toc10006"/>
      <w:bookmarkStart w:id="499" w:name="_Toc29891"/>
      <w:bookmarkStart w:id="500" w:name="_Toc11159943"/>
      <w:bookmarkStart w:id="501" w:name="_Toc8049"/>
      <w:bookmarkStart w:id="502" w:name="_Toc139991749"/>
      <w:bookmarkStart w:id="503" w:name="_Toc123051465"/>
      <w:bookmarkStart w:id="504" w:name="_Toc100246535"/>
      <w:bookmarkStart w:id="505" w:name="_Toc123112247"/>
      <w:bookmarkStart w:id="506" w:name="_Toc98560364"/>
      <w:bookmarkStart w:id="507" w:name="_Toc8059"/>
      <w:bookmarkStart w:id="508" w:name="_Toc27464"/>
      <w:bookmarkStart w:id="509" w:name="_Toc7170"/>
      <w:bookmarkStart w:id="510" w:name="_Toc9005"/>
      <w:bookmarkStart w:id="511" w:name="_Toc141703899"/>
      <w:r>
        <w:rPr>
          <w:rFonts w:ascii="Times New Roman" w:cs="Times New Roman" w:hAnsi="Times New Roman"/>
          <w:color w:val="auto"/>
          <w:sz w:val="21"/>
          <w:szCs w:val="21"/>
          <w:lang w:eastAsia="zh-CN"/>
        </w:rPr>
        <w:t xml:space="preserve">第二十部分  </w:t>
      </w:r>
      <w:bookmarkStart w:id="512" w:name="_Hlt88828593"/>
      <w:r>
        <w:rPr>
          <w:rFonts w:ascii="Times New Roman" w:cs="Times New Roman" w:hAnsi="Times New Roman"/>
          <w:color w:val="auto"/>
          <w:sz w:val="21"/>
          <w:szCs w:val="21"/>
          <w:lang w:eastAsia="zh-CN"/>
        </w:rPr>
        <w:t>基金合同</w:t>
      </w:r>
      <w:bookmarkEnd w:id="512"/>
      <w:r>
        <w:rPr>
          <w:rFonts w:ascii="Times New Roman" w:cs="Times New Roman" w:hAnsi="Times New Roman"/>
          <w:color w:val="auto"/>
          <w:sz w:val="21"/>
          <w:szCs w:val="21"/>
          <w:lang w:eastAsia="zh-CN"/>
        </w:rPr>
        <w:t>的变更、终止与基金财产的清算</w:t>
      </w:r>
      <w:bookmarkEnd w:id="490"/>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5752C38D">
      <w:pPr>
        <w:spacing w:after="0" w:line="360" w:lineRule="auto"/>
        <w:ind w:firstLine="420"/>
        <w:rPr>
          <w:rFonts w:ascii="Times New Roman" w:cs="Times New Roman" w:hAnsi="Times New Roman"/>
          <w:bCs/>
          <w:szCs w:val="21"/>
          <w:lang w:eastAsia="zh-CN"/>
        </w:rPr>
      </w:pPr>
    </w:p>
    <w:p w14:paraId="1D24DC7B">
      <w:pPr>
        <w:spacing w:after="0" w:line="360" w:lineRule="auto"/>
        <w:ind w:firstLine="420"/>
        <w:rPr>
          <w:rFonts w:ascii="Times New Roman" w:cs="Times New Roman" w:hAnsi="Times New Roman"/>
          <w:bCs/>
          <w:szCs w:val="21"/>
          <w:lang w:eastAsia="zh-CN"/>
        </w:rPr>
      </w:pPr>
      <w:bookmarkStart w:id="513" w:name="_Toc79392639"/>
      <w:bookmarkStart w:id="514" w:name="_Hlk149132415"/>
      <w:r>
        <w:rPr>
          <w:rFonts w:ascii="Times New Roman" w:cs="Times New Roman" w:hAnsi="Times New Roman"/>
          <w:bCs/>
          <w:szCs w:val="21"/>
          <w:lang w:eastAsia="zh-CN"/>
        </w:rPr>
        <w:t>一、《基金合同》的变更</w:t>
      </w:r>
      <w:bookmarkEnd w:id="513"/>
    </w:p>
    <w:p w14:paraId="2A2B0F82">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w:t>
      </w:r>
      <w:r>
        <w:rPr>
          <w:rFonts w:ascii="Times New Roman" w:cs="Times New Roman" w:hAnsi="Times New Roman" w:hint="eastAsia"/>
          <w:bCs/>
          <w:szCs w:val="21"/>
          <w:lang w:eastAsia="zh-CN"/>
        </w:rPr>
        <w:t>并履行相关程序</w:t>
      </w:r>
      <w:r>
        <w:rPr>
          <w:rFonts w:ascii="Times New Roman" w:cs="Times New Roman" w:hAnsi="Times New Roman"/>
          <w:bCs/>
          <w:szCs w:val="21"/>
          <w:lang w:eastAsia="zh-CN"/>
        </w:rPr>
        <w:t>后变更并公告。</w:t>
      </w:r>
    </w:p>
    <w:p w14:paraId="50FECA3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 2、关于《基金合同》变更的基金份额持有人大会决议自生效后方可执行，自决议生效后两日内在规定媒介公告。</w:t>
      </w:r>
    </w:p>
    <w:p w14:paraId="59A1621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二、《基金合同》的终止事由</w:t>
      </w:r>
    </w:p>
    <w:p w14:paraId="1F3D2E0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有下列情形之一的，经履行相关程序后，《基金合同》应当终止：</w:t>
      </w:r>
    </w:p>
    <w:p w14:paraId="091C81D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1、基金份额持有人大会决定终止的；</w:t>
      </w:r>
    </w:p>
    <w:p w14:paraId="25ACE14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2、基金管理人、基金托管人职责终止，在6个月内没有新基金管理人、新基金托管人承接的；</w:t>
      </w:r>
    </w:p>
    <w:p w14:paraId="744B3D0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0571266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4、《基金合同》约定的其他情形；</w:t>
      </w:r>
    </w:p>
    <w:p w14:paraId="60DA6CB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5、相关法律法规和中国证监会规定的其他情况。</w:t>
      </w:r>
    </w:p>
    <w:p w14:paraId="3689B6FF">
      <w:pPr>
        <w:spacing w:after="0" w:line="360" w:lineRule="auto"/>
        <w:ind w:firstLine="420"/>
        <w:rPr>
          <w:rFonts w:ascii="Times New Roman" w:cs="Times New Roman" w:hAnsi="Times New Roman"/>
          <w:bCs/>
          <w:szCs w:val="21"/>
          <w:lang w:eastAsia="zh-CN"/>
        </w:rPr>
      </w:pPr>
      <w:bookmarkStart w:id="515" w:name="_Hlk57299155"/>
      <w:r>
        <w:rPr>
          <w:rFonts w:ascii="Times New Roman" w:cs="Times New Roman" w:hAnsi="Times New Roman"/>
          <w:bCs/>
          <w:szCs w:val="21"/>
          <w:lang w:eastAsia="zh-CN"/>
        </w:rPr>
        <w:t>三、基金财产的清算</w:t>
      </w:r>
    </w:p>
    <w:p w14:paraId="5C3E1A8B">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1、基金财产清算小组：自出现《基金合同》终止事由之日起30个工作日内成立清算小组，基金管理人组织基金财产清算小组并在中国证监会的监督下进行基金清算。</w:t>
      </w:r>
    </w:p>
    <w:p w14:paraId="558D326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2、基金财产清算小组组成：基金财产清算小组成员由基金管理人、基金托管人、具有从事证券相关业务资格的注册会计师、律师以及中国证监会指定的人员组成。基金财产清算小组可以聘用必要的工作人员。</w:t>
      </w:r>
    </w:p>
    <w:p w14:paraId="24D315C0">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3、基金财产清算小组职责：基金财产清算小组负责基金财产的保管、清理、估价、变现和分配。基金财产清算小组可以依法进行必要的民事活动。</w:t>
      </w:r>
    </w:p>
    <w:p w14:paraId="50F61E0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4、基金财产清算程序：</w:t>
      </w:r>
    </w:p>
    <w:p w14:paraId="0CEB8E2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（1）《基金合同》终止情形出现时，由基金财产清算小组统一接管基金；</w:t>
      </w:r>
    </w:p>
    <w:p w14:paraId="43B90ED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（2）对基金财产和债权债务进行清理和确认；</w:t>
      </w:r>
    </w:p>
    <w:p w14:paraId="2D7B0913">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（3）对基金财产进行估值和变现；</w:t>
      </w:r>
    </w:p>
    <w:p w14:paraId="6417F5D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（4）制作清算报告；</w:t>
      </w:r>
    </w:p>
    <w:p w14:paraId="064028EF">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（5）聘请会计师事务所对清算报告进行外部审计，聘请律师事务所对清算报告出具法律意见书；</w:t>
      </w:r>
    </w:p>
    <w:p w14:paraId="666EFFC9">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（6）将清算报告报中国证监会备案并公告；</w:t>
      </w:r>
    </w:p>
    <w:p w14:paraId="4B57AD3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（7）对基金剩余财产进行分配。</w:t>
      </w:r>
    </w:p>
    <w:p w14:paraId="7D9DFA96">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5、基金财产清算的期限为</w:t>
      </w:r>
      <w:r>
        <w:rPr>
          <w:rFonts w:ascii="Times New Roman" w:cs="Times New Roman" w:hAnsi="Times New Roman"/>
          <w:szCs w:val="21"/>
          <w:lang w:eastAsia="zh-CN"/>
        </w:rPr>
        <w:t>6个月，但因本基金所持证券的流动性受到限制而不能及时变现的，清算期限相应顺延</w:t>
      </w:r>
      <w:r>
        <w:rPr>
          <w:rFonts w:ascii="Times New Roman" w:cs="Times New Roman" w:hAnsi="Times New Roman"/>
          <w:bCs/>
          <w:szCs w:val="21"/>
          <w:lang w:eastAsia="zh-CN"/>
        </w:rPr>
        <w:t>。</w:t>
      </w:r>
    </w:p>
    <w:p w14:paraId="30A34F3E">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四、清算费用</w:t>
      </w:r>
    </w:p>
    <w:p w14:paraId="0423D60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清算费用是指基金财产清算小组在进行基金清算过程中发生的所有合理费用，清算费用由基金财产清算小组优先从基金剩余财产中支付。</w:t>
      </w:r>
    </w:p>
    <w:p w14:paraId="6DD61EC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五、基金财产清算剩余资产的分配</w:t>
      </w:r>
    </w:p>
    <w:p w14:paraId="4A67DBDC">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依据基金财产清算的分配方案，将基金财产清算后的全部剩余资产扣除基金财产清算费用、交纳所欠税款并清偿基金债务后，按基金份额持有人持有的基金份额比例进行分配。</w:t>
      </w:r>
    </w:p>
    <w:p w14:paraId="0D6A74D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六、基金财产清算的公告</w:t>
      </w:r>
    </w:p>
    <w:p w14:paraId="481147DA">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由基金财产清算小组进行公告。</w:t>
      </w:r>
    </w:p>
    <w:p w14:paraId="59FE57A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七、基金财产清算账册及文件的保存</w:t>
      </w:r>
    </w:p>
    <w:p w14:paraId="0D766DC1">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基金财产清算账册及有关文件由基金托管人保存，保存期限不低于法律法规规定的最低期限。</w:t>
      </w:r>
      <w:bookmarkEnd w:id="515"/>
    </w:p>
    <w:bookmarkEnd w:id="514"/>
    <w:p w14:paraId="135D39CA">
      <w:pPr>
        <w:spacing w:after="0" w:line="360" w:lineRule="auto"/>
        <w:ind w:firstLine="420"/>
        <w:rPr>
          <w:rFonts w:ascii="Times New Roman" w:cs="Times New Roman" w:hAnsi="Times New Roman"/>
          <w:bCs/>
          <w:szCs w:val="21"/>
          <w:lang w:eastAsia="zh-CN"/>
        </w:rPr>
      </w:pPr>
    </w:p>
    <w:bookmarkEnd w:id="333"/>
    <w:p w14:paraId="7A7EC874">
      <w:pPr>
        <w:pStyle w:val="Heading1"/>
        <w:spacing w:after="0" w:before="0"/>
        <w:jc w:val="center"/>
        <w:rPr>
          <w:rFonts w:ascii="Times New Roman" w:cs="Times New Roman" w:hAnsi="Times New Roman"/>
          <w:color w:val="auto"/>
          <w:sz w:val="21"/>
          <w:szCs w:val="21"/>
          <w:lang w:eastAsia="zh-CN"/>
        </w:rPr>
      </w:pPr>
      <w:bookmarkStart w:id="516" w:name="_Toc123051466"/>
      <w:bookmarkStart w:id="517" w:name="_Toc123102467"/>
      <w:bookmarkStart w:id="518" w:name="_Toc79392641"/>
      <w:bookmarkStart w:id="519" w:name="_Toc48649720"/>
      <w:bookmarkStart w:id="520" w:name="_Toc98560365"/>
      <w:bookmarkStart w:id="521" w:name="_Toc123112248"/>
      <w:r>
        <w:rPr>
          <w:rFonts w:ascii="Times New Roman" w:cs="Times New Roman" w:hAnsi="Times New Roman"/>
          <w:b w:val="0"/>
          <w:bCs/>
          <w:color w:val="auto"/>
          <w:sz w:val="21"/>
          <w:szCs w:val="21"/>
          <w:lang w:eastAsia="zh-CN"/>
        </w:rPr>
        <w:br w:type="page"/>
      </w:r>
      <w:bookmarkStart w:id="522" w:name="_Toc12191"/>
      <w:bookmarkStart w:id="523" w:name="_Toc14078738"/>
      <w:bookmarkStart w:id="524" w:name="_Toc8710"/>
      <w:bookmarkStart w:id="525" w:name="_Toc141703901"/>
      <w:bookmarkStart w:id="526" w:name="_Toc13398"/>
      <w:bookmarkStart w:id="527" w:name="_Toc30645"/>
      <w:bookmarkStart w:id="528" w:name="_Toc28549"/>
      <w:bookmarkStart w:id="529" w:name="_Toc27058"/>
      <w:bookmarkStart w:id="530" w:name="_Toc23022"/>
      <w:bookmarkStart w:id="531" w:name="_Toc21240"/>
      <w:bookmarkStart w:id="532" w:name="_Toc23166"/>
      <w:bookmarkStart w:id="533" w:name="_Toc139991750"/>
      <w:bookmarkStart w:id="534" w:name="_Toc7367"/>
      <w:bookmarkStart w:id="535" w:name="_Toc57364990"/>
      <w:bookmarkStart w:id="536" w:name="_Toc11159944"/>
      <w:bookmarkStart w:id="537" w:name="_Toc100246536"/>
      <w:bookmarkStart w:id="538" w:name="_Toc9708"/>
      <w:r>
        <w:rPr>
          <w:rFonts w:ascii="Times New Roman" w:cs="Times New Roman" w:hAnsi="Times New Roman"/>
          <w:color w:val="auto"/>
          <w:sz w:val="21"/>
          <w:szCs w:val="21"/>
          <w:lang w:eastAsia="zh-CN"/>
        </w:rPr>
        <w:t>第二十一部分  违约责任</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6CDD14AE">
      <w:pPr>
        <w:spacing w:after="0" w:line="360" w:lineRule="auto"/>
        <w:ind w:firstLine="420"/>
        <w:rPr>
          <w:rFonts w:ascii="Times New Roman" w:cs="Times New Roman" w:hAnsi="Times New Roman"/>
          <w:bCs/>
          <w:szCs w:val="21"/>
          <w:lang w:eastAsia="zh-CN"/>
        </w:rPr>
      </w:pPr>
    </w:p>
    <w:p w14:paraId="786F51DE">
      <w:pPr>
        <w:spacing w:after="0" w:line="360" w:lineRule="auto"/>
        <w:ind w:firstLine="420"/>
        <w:rPr>
          <w:rFonts w:ascii="Times New Roman" w:cs="Times New Roman" w:hAnsi="Times New Roman"/>
          <w:b/>
          <w:bCs/>
          <w:szCs w:val="21"/>
          <w:lang w:eastAsia="zh-CN"/>
        </w:rPr>
      </w:pPr>
      <w:r>
        <w:rPr>
          <w:rFonts w:ascii="Times New Roman" w:cs="Times New Roman" w:hAnsi="Times New Roman"/>
          <w:bCs/>
          <w:szCs w:val="21"/>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ascii="Times New Roman" w:cs="Times New Roman" w:hAnsi="Times New Roman"/>
          <w:b/>
          <w:bCs/>
          <w:szCs w:val="21"/>
          <w:lang w:eastAsia="zh-CN"/>
        </w:rPr>
        <w:t>但是如发生下列情况，相应的当事人免责：</w:t>
      </w:r>
    </w:p>
    <w:p w14:paraId="61A498D3">
      <w:pPr>
        <w:spacing w:after="0" w:line="360" w:lineRule="auto"/>
        <w:ind w:firstLine="422"/>
        <w:rPr>
          <w:rFonts w:ascii="Times New Roman" w:cs="Times New Roman" w:hAnsi="Times New Roman"/>
          <w:b/>
          <w:bCs/>
          <w:szCs w:val="21"/>
          <w:lang w:eastAsia="zh-CN"/>
        </w:rPr>
      </w:pPr>
      <w:r>
        <w:rPr>
          <w:rFonts w:ascii="Times New Roman" w:cs="Times New Roman" w:hAnsi="Times New Roman" w:hint="eastAsia"/>
          <w:b/>
          <w:bCs/>
          <w:szCs w:val="21"/>
          <w:lang w:eastAsia="zh-CN"/>
        </w:rPr>
        <w:t>1、不可抗力；</w:t>
      </w:r>
    </w:p>
    <w:p w14:paraId="0287B524">
      <w:pPr>
        <w:spacing w:after="0" w:line="360" w:lineRule="auto"/>
        <w:ind w:firstLine="422"/>
        <w:rPr>
          <w:rFonts w:ascii="Times New Roman" w:cs="Times New Roman" w:hAnsi="Times New Roman"/>
          <w:b/>
          <w:bCs/>
          <w:szCs w:val="21"/>
          <w:lang w:eastAsia="zh-CN"/>
        </w:rPr>
      </w:pPr>
      <w:r>
        <w:rPr>
          <w:rFonts w:ascii="Times New Roman" w:cs="Times New Roman" w:hAnsi="Times New Roman" w:hint="eastAsia"/>
          <w:b/>
          <w:bCs/>
          <w:szCs w:val="21"/>
          <w:lang w:eastAsia="zh-CN"/>
        </w:rPr>
        <w:t>2、基金管理人和/或基金托管人按照当时有效的法律法规或中国证监会的规定作为或不作为而造成的损失等；</w:t>
      </w:r>
    </w:p>
    <w:p w14:paraId="2B3CDB6E">
      <w:pPr>
        <w:spacing w:after="0" w:line="360" w:lineRule="auto"/>
        <w:ind w:firstLine="420"/>
        <w:rPr>
          <w:rFonts w:ascii="Times New Roman" w:cs="Times New Roman" w:hAnsi="Times New Roman"/>
          <w:b/>
          <w:bCs/>
          <w:szCs w:val="21"/>
          <w:lang w:eastAsia="zh-CN"/>
        </w:rPr>
      </w:pPr>
      <w:r>
        <w:rPr>
          <w:rFonts w:ascii="Times New Roman" w:cs="Times New Roman" w:hAnsi="Times New Roman" w:hint="eastAsia"/>
          <w:b/>
          <w:bCs/>
          <w:szCs w:val="21"/>
          <w:lang w:eastAsia="zh-CN"/>
        </w:rPr>
        <w:t>3、在没有过错的情况下，基金管理人由于按照《基金合同》规定的投资原则投资或不投资造成的直接损失等。</w:t>
      </w:r>
    </w:p>
    <w:p w14:paraId="58BACB0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14:paraId="110BA1A4">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三、由于基金管理人、基金托管人不可控制的因素导致业务出现差错，基金管理人和基金托管人虽然已经采取必要、适当、合理的措施进行检查，但是未能发现错误</w:t>
      </w:r>
      <w:r>
        <w:rPr>
          <w:rFonts w:hAnsi="宋体" w:hint="eastAsia"/>
          <w:bCs/>
          <w:szCs w:val="21"/>
          <w:lang w:eastAsia="zh-CN"/>
        </w:rPr>
        <w:t>或虽发现错误但因前述原因无法及时更正</w:t>
      </w:r>
      <w:r>
        <w:rPr>
          <w:rFonts w:ascii="Times New Roman" w:cs="Times New Roman" w:hAnsi="Times New Roman"/>
          <w:bCs/>
          <w:szCs w:val="21"/>
          <w:lang w:eastAsia="zh-CN"/>
        </w:rPr>
        <w:t>的，由此造成基金财产或投资人损失，基金管理人和基金托管人免除赔偿责任。但是基金管理人和基金托管人应积极采取必要的措施减轻或消除由此造成的影响。</w:t>
      </w:r>
    </w:p>
    <w:p w14:paraId="0644B8BE">
      <w:pPr>
        <w:spacing w:after="0" w:line="360" w:lineRule="auto"/>
        <w:ind w:firstLine="420"/>
        <w:rPr>
          <w:rFonts w:ascii="Times New Roman" w:cs="Times New Roman" w:hAnsi="Times New Roman"/>
          <w:bCs/>
          <w:szCs w:val="21"/>
          <w:lang w:eastAsia="zh-CN"/>
        </w:rPr>
      </w:pPr>
    </w:p>
    <w:p w14:paraId="1570124A">
      <w:pPr>
        <w:spacing w:after="0" w:line="360" w:lineRule="auto"/>
        <w:ind w:firstLine="420"/>
        <w:rPr>
          <w:rFonts w:ascii="Times New Roman" w:cs="Times New Roman" w:hAnsi="Times New Roman"/>
          <w:bCs/>
          <w:szCs w:val="21"/>
          <w:lang w:eastAsia="zh-CN"/>
        </w:rPr>
      </w:pPr>
    </w:p>
    <w:p w14:paraId="077A5C61">
      <w:pPr>
        <w:spacing w:after="0" w:line="360" w:lineRule="auto"/>
        <w:ind w:firstLine="420"/>
        <w:rPr>
          <w:rFonts w:ascii="Times New Roman" w:cs="Times New Roman" w:hAnsi="Times New Roman"/>
          <w:bCs/>
          <w:szCs w:val="21"/>
          <w:lang w:eastAsia="zh-CN"/>
        </w:rPr>
      </w:pPr>
    </w:p>
    <w:p w14:paraId="7C36B141">
      <w:pPr>
        <w:pStyle w:val="Heading1"/>
        <w:spacing w:after="0" w:before="0"/>
        <w:jc w:val="center"/>
        <w:rPr>
          <w:rFonts w:ascii="Times New Roman" w:cs="Times New Roman" w:hAnsi="Times New Roman"/>
          <w:color w:val="auto"/>
          <w:sz w:val="21"/>
          <w:szCs w:val="21"/>
          <w:lang w:eastAsia="zh-CN"/>
        </w:rPr>
      </w:pPr>
      <w:bookmarkStart w:id="539" w:name="_Toc14078739"/>
      <w:r>
        <w:rPr>
          <w:rFonts w:ascii="Times New Roman" w:cs="Times New Roman" w:hAnsi="Times New Roman"/>
          <w:b w:val="0"/>
          <w:bCs/>
          <w:color w:val="auto"/>
          <w:sz w:val="21"/>
          <w:szCs w:val="21"/>
          <w:lang w:eastAsia="zh-CN"/>
        </w:rPr>
        <w:br w:type="page"/>
      </w:r>
      <w:bookmarkStart w:id="540" w:name="_Toc25651"/>
      <w:bookmarkStart w:id="541" w:name="_Toc100246537"/>
      <w:bookmarkStart w:id="542" w:name="_Toc141703902"/>
      <w:bookmarkStart w:id="543" w:name="_Toc21983"/>
      <w:bookmarkStart w:id="544" w:name="_Toc57364991"/>
      <w:bookmarkStart w:id="545" w:name="_Toc7288"/>
      <w:bookmarkStart w:id="546" w:name="_Toc24923"/>
      <w:bookmarkStart w:id="547" w:name="_Toc3319"/>
      <w:bookmarkStart w:id="548" w:name="_Toc11159945"/>
      <w:bookmarkStart w:id="549" w:name="_Toc1790"/>
      <w:bookmarkStart w:id="550" w:name="_Toc6202"/>
      <w:bookmarkStart w:id="551" w:name="_Toc123051467"/>
      <w:bookmarkStart w:id="552" w:name="_Toc23999"/>
      <w:bookmarkStart w:id="553" w:name="_Toc30350"/>
      <w:bookmarkStart w:id="554" w:name="_Toc139991751"/>
      <w:bookmarkStart w:id="555" w:name="_Toc8636"/>
      <w:bookmarkStart w:id="556" w:name="_Toc6110"/>
      <w:bookmarkStart w:id="557" w:name="_Toc123112249"/>
      <w:bookmarkStart w:id="558" w:name="_Toc123102468"/>
      <w:bookmarkStart w:id="559" w:name="_Toc98560366"/>
      <w:r>
        <w:rPr>
          <w:rFonts w:ascii="Times New Roman" w:cs="Times New Roman" w:hAnsi="Times New Roman"/>
          <w:color w:val="auto"/>
          <w:sz w:val="21"/>
          <w:szCs w:val="21"/>
          <w:lang w:eastAsia="zh-CN"/>
        </w:rPr>
        <w:t>第二十二部分  争议的处理和适用的法律</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593AF768">
      <w:pPr>
        <w:spacing w:after="0" w:line="360" w:lineRule="auto"/>
        <w:ind w:firstLine="420"/>
        <w:rPr>
          <w:rFonts w:ascii="Times New Roman" w:cs="Times New Roman" w:hAnsi="Times New Roman"/>
          <w:bCs/>
          <w:szCs w:val="21"/>
          <w:lang w:eastAsia="zh-CN"/>
        </w:rPr>
      </w:pPr>
    </w:p>
    <w:p w14:paraId="46324718">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各方当事人同意，因《基金合同》而产生的或与《基金合同》有关的一切争议，各方当事人应通过协商、调解解决，协商、调解不能解决的，任何一方均应将争议提交</w:t>
      </w:r>
      <w:bookmarkStart w:id="560" w:name="_Hlk106116849"/>
      <w:r>
        <w:rPr>
          <w:rFonts w:ascii="Times New Roman" w:cs="Times New Roman" w:hAnsi="Times New Roman"/>
          <w:b/>
          <w:bCs/>
          <w:szCs w:val="21"/>
          <w:lang w:eastAsia="zh-CN"/>
        </w:rPr>
        <w:t>中国国际经济贸易仲裁委员会</w:t>
      </w:r>
      <w:bookmarkEnd w:id="560"/>
      <w:r>
        <w:rPr>
          <w:rFonts w:ascii="Times New Roman" w:cs="Times New Roman" w:hAnsi="Times New Roman"/>
          <w:b/>
          <w:bCs/>
          <w:szCs w:val="21"/>
          <w:lang w:eastAsia="zh-CN"/>
        </w:rPr>
        <w:t>，仲裁地点为北京市，按照中国国际经济贸易仲裁委员会届时有效的仲裁规则按普通程序进行仲裁。仲裁裁决是终局的，对当事人均有约束力，除非仲裁裁决另有规定，仲裁费用由败诉方承担。</w:t>
      </w:r>
    </w:p>
    <w:p w14:paraId="11DE364B">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争议处理期间，</w:t>
      </w:r>
      <w:r>
        <w:rPr>
          <w:rFonts w:ascii="Times New Roman" w:cs="Times New Roman" w:hAnsi="Times New Roman" w:hint="eastAsia"/>
          <w:b/>
          <w:bCs/>
          <w:szCs w:val="21"/>
          <w:lang w:eastAsia="zh-CN"/>
        </w:rPr>
        <w:t>基金管理人、基金托管人</w:t>
      </w:r>
      <w:r>
        <w:rPr>
          <w:rFonts w:ascii="Times New Roman" w:cs="Times New Roman" w:hAnsi="Times New Roman"/>
          <w:b/>
          <w:bCs/>
          <w:szCs w:val="21"/>
          <w:lang w:eastAsia="zh-CN"/>
        </w:rPr>
        <w:t>应恪守各自的职责，各自继续忠实、勤勉、尽责地履行《基金合同》和托管协议规定的义务，维护基金份额持有人的合法权益。</w:t>
      </w:r>
    </w:p>
    <w:p w14:paraId="14D5952B">
      <w:pPr>
        <w:spacing w:after="0" w:line="360" w:lineRule="auto"/>
        <w:ind w:firstLine="422"/>
        <w:rPr>
          <w:rFonts w:ascii="Times New Roman" w:cs="Times New Roman" w:hAnsi="Times New Roman"/>
          <w:b/>
          <w:bCs/>
          <w:szCs w:val="21"/>
          <w:lang w:eastAsia="zh-CN"/>
        </w:rPr>
      </w:pPr>
      <w:r>
        <w:rPr>
          <w:rFonts w:ascii="Times New Roman" w:cs="Times New Roman" w:hAnsi="Times New Roman"/>
          <w:b/>
          <w:bCs/>
          <w:szCs w:val="21"/>
          <w:lang w:eastAsia="zh-CN"/>
        </w:rPr>
        <w:t>《基金合同》受中国法律（为本合同之目的，不包括香港特别行政区、澳门特别行政区和台湾地区法律）管辖</w:t>
      </w:r>
      <w:r>
        <w:rPr>
          <w:rFonts w:ascii="Times New Roman" w:cs="Times New Roman" w:hAnsi="Times New Roman" w:hint="eastAsia"/>
          <w:b/>
          <w:bCs/>
          <w:szCs w:val="21"/>
          <w:lang w:eastAsia="zh-CN"/>
        </w:rPr>
        <w:t>并从其解释</w:t>
      </w:r>
      <w:r>
        <w:rPr>
          <w:rFonts w:ascii="Times New Roman" w:cs="Times New Roman" w:hAnsi="Times New Roman"/>
          <w:b/>
          <w:bCs/>
          <w:szCs w:val="21"/>
          <w:lang w:eastAsia="zh-CN"/>
        </w:rPr>
        <w:t>。</w:t>
      </w:r>
    </w:p>
    <w:p w14:paraId="60C855C1">
      <w:pPr>
        <w:spacing w:after="0" w:line="360" w:lineRule="auto"/>
        <w:ind w:firstLine="420"/>
        <w:rPr>
          <w:rFonts w:ascii="Times New Roman" w:cs="Times New Roman" w:hAnsi="Times New Roman"/>
          <w:bCs/>
          <w:szCs w:val="21"/>
          <w:lang w:eastAsia="zh-CN"/>
        </w:rPr>
      </w:pPr>
      <w:bookmarkStart w:id="561" w:name="_Toc14078740"/>
      <w:r>
        <w:rPr>
          <w:rFonts w:ascii="Times New Roman" w:cs="Times New Roman" w:hAnsi="Times New Roman"/>
          <w:bCs/>
          <w:szCs w:val="21"/>
          <w:lang w:eastAsia="zh-CN"/>
        </w:rPr>
        <w:br w:type="page"/>
      </w:r>
    </w:p>
    <w:p w14:paraId="008EC3BB">
      <w:pPr>
        <w:pStyle w:val="Heading1"/>
        <w:spacing w:after="0" w:before="0"/>
        <w:jc w:val="center"/>
        <w:rPr>
          <w:rFonts w:ascii="Times New Roman" w:cs="Times New Roman" w:hAnsi="Times New Roman"/>
          <w:color w:val="auto"/>
          <w:sz w:val="21"/>
          <w:szCs w:val="21"/>
          <w:lang w:eastAsia="zh-CN"/>
        </w:rPr>
      </w:pPr>
      <w:bookmarkStart w:id="562" w:name="_Toc31966"/>
      <w:bookmarkStart w:id="563" w:name="_Toc23991"/>
      <w:bookmarkStart w:id="564" w:name="_Toc100246538"/>
      <w:bookmarkStart w:id="565" w:name="_Toc8703"/>
      <w:bookmarkStart w:id="566" w:name="_Toc141703903"/>
      <w:bookmarkStart w:id="567" w:name="_Toc29505"/>
      <w:bookmarkStart w:id="568" w:name="_Toc123051468"/>
      <w:bookmarkStart w:id="569" w:name="_Toc484"/>
      <w:bookmarkStart w:id="570" w:name="_Toc123112250"/>
      <w:bookmarkStart w:id="571" w:name="_Toc28690"/>
      <w:bookmarkStart w:id="572" w:name="_Toc11159946"/>
      <w:bookmarkStart w:id="573" w:name="_Toc11618"/>
      <w:bookmarkStart w:id="574" w:name="_Toc2532"/>
      <w:bookmarkStart w:id="575" w:name="_Toc20350"/>
      <w:bookmarkStart w:id="576" w:name="_Toc139991752"/>
      <w:bookmarkStart w:id="577" w:name="_Toc57364992"/>
      <w:bookmarkStart w:id="578" w:name="_Toc26461"/>
      <w:bookmarkStart w:id="579" w:name="_Toc123102469"/>
      <w:bookmarkStart w:id="580" w:name="_Toc8454"/>
      <w:r>
        <w:rPr>
          <w:rFonts w:ascii="Times New Roman" w:cs="Times New Roman" w:hAnsi="Times New Roman"/>
          <w:color w:val="auto"/>
          <w:sz w:val="21"/>
          <w:szCs w:val="21"/>
          <w:lang w:eastAsia="zh-CN"/>
        </w:rPr>
        <w:t>第二十三部分  基金合同的效力</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7FF77EA6">
      <w:pPr>
        <w:spacing w:after="0" w:line="360" w:lineRule="auto"/>
        <w:ind w:firstLine="420"/>
        <w:rPr>
          <w:rFonts w:ascii="Times New Roman" w:cs="Times New Roman" w:hAnsi="Times New Roman"/>
          <w:bCs/>
          <w:szCs w:val="21"/>
          <w:lang w:eastAsia="zh-CN"/>
        </w:rPr>
      </w:pPr>
    </w:p>
    <w:p w14:paraId="54C29C78">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《基金合同》是约定基金合同当事人之间、基金与基金合同当事人之间权利义务关系的法律文件。</w:t>
      </w:r>
    </w:p>
    <w:p w14:paraId="48F977D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1、《基金合同》经基金管理人、基金托管人双方盖章以及双方法定代表人或授权代表签章并在募集结束后经基金管理人向中国证监会办理基金备案手续，并经中国证监会书面确认后生效。</w:t>
      </w:r>
    </w:p>
    <w:p w14:paraId="2577618D">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2、《基金合同》的有效期自其生效之日起至基金财产清算结果报中国证监会备案并公告之日止。</w:t>
      </w:r>
    </w:p>
    <w:p w14:paraId="6FE62E05">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3、《基金合同》自生效之日起对包括基金管理人、基金托管人和基金份额持有人在内的《基金合同》各方当事人具有同等的法律约束力。</w:t>
      </w:r>
    </w:p>
    <w:p w14:paraId="6C8060D0">
      <w:pPr>
        <w:spacing w:after="0" w:line="360" w:lineRule="auto"/>
        <w:ind w:firstLine="420"/>
        <w:rPr>
          <w:rFonts w:ascii="Times New Roman" w:cs="Times New Roman" w:hAnsi="Times New Roman"/>
          <w:bCs/>
          <w:szCs w:val="21"/>
          <w:lang w:eastAsia="zh-CN"/>
        </w:rPr>
      </w:pPr>
      <w:bookmarkStart w:id="581" w:name="_Hlk149132449"/>
      <w:r>
        <w:rPr>
          <w:rFonts w:ascii="Times New Roman" w:cs="Times New Roman" w:hAnsi="Times New Roman"/>
          <w:bCs/>
          <w:szCs w:val="21"/>
          <w:lang w:eastAsia="zh-CN"/>
        </w:rPr>
        <w:t>4、《基金合同》正本一式</w:t>
      </w:r>
      <w:r>
        <w:rPr>
          <w:rFonts w:ascii="Times New Roman" w:cs="Times New Roman" w:hAnsi="Times New Roman" w:hint="eastAsia"/>
          <w:bCs/>
          <w:szCs w:val="21"/>
          <w:lang w:eastAsia="zh-CN"/>
        </w:rPr>
        <w:t>三</w:t>
      </w:r>
      <w:r>
        <w:rPr>
          <w:rFonts w:ascii="Times New Roman" w:cs="Times New Roman" w:hAnsi="Times New Roman"/>
          <w:bCs/>
          <w:szCs w:val="21"/>
          <w:lang w:eastAsia="zh-CN"/>
        </w:rPr>
        <w:t>份，除上报有关监管机构</w:t>
      </w:r>
      <w:r>
        <w:rPr>
          <w:rFonts w:ascii="Times New Roman" w:cs="Times New Roman" w:hAnsi="Times New Roman" w:hint="eastAsia"/>
          <w:bCs/>
          <w:szCs w:val="21"/>
          <w:lang w:eastAsia="zh-CN"/>
        </w:rPr>
        <w:t>一</w:t>
      </w:r>
      <w:r>
        <w:rPr>
          <w:rFonts w:ascii="Times New Roman" w:cs="Times New Roman" w:hAnsi="Times New Roman"/>
          <w:bCs/>
          <w:szCs w:val="21"/>
          <w:lang w:eastAsia="zh-CN"/>
        </w:rPr>
        <w:t>份外，基金管理人、基金托管人各持有</w:t>
      </w:r>
      <w:r>
        <w:rPr>
          <w:rFonts w:ascii="Times New Roman" w:cs="Times New Roman" w:hAnsi="Times New Roman" w:hint="eastAsia"/>
          <w:bCs/>
          <w:szCs w:val="21"/>
          <w:lang w:eastAsia="zh-CN"/>
        </w:rPr>
        <w:t>一</w:t>
      </w:r>
      <w:r>
        <w:rPr>
          <w:rFonts w:ascii="Times New Roman" w:cs="Times New Roman" w:hAnsi="Times New Roman"/>
          <w:bCs/>
          <w:szCs w:val="21"/>
          <w:lang w:eastAsia="zh-CN"/>
        </w:rPr>
        <w:t>份，每份具有同等的法律效力。</w:t>
      </w:r>
    </w:p>
    <w:p w14:paraId="140EF417">
      <w:pPr>
        <w:spacing w:after="0" w:line="360" w:lineRule="auto"/>
        <w:ind w:firstLine="420"/>
        <w:rPr>
          <w:rFonts w:ascii="Times New Roman" w:cs="Times New Roman" w:hAnsi="Times New Roman"/>
          <w:bCs/>
          <w:szCs w:val="21"/>
          <w:lang w:eastAsia="zh-CN"/>
        </w:rPr>
      </w:pPr>
      <w:r>
        <w:rPr>
          <w:rFonts w:ascii="Times New Roman" w:cs="Times New Roman" w:hAnsi="Times New Roman"/>
          <w:bCs/>
          <w:szCs w:val="21"/>
          <w:lang w:eastAsia="zh-CN"/>
        </w:rPr>
        <w:t>5、《基金合同》可印制成册，供投资者在基金管理人、基金托管人、销售机构的办公场所和营业场所查阅。</w:t>
      </w:r>
    </w:p>
    <w:bookmarkEnd w:id="581"/>
    <w:p w14:paraId="1CB6D8D2">
      <w:pPr>
        <w:pStyle w:val="Heading1"/>
        <w:spacing w:after="0" w:before="0"/>
        <w:jc w:val="center"/>
        <w:rPr>
          <w:rFonts w:ascii="Times New Roman" w:cs="Times New Roman" w:hAnsi="Times New Roman"/>
          <w:color w:val="auto"/>
          <w:sz w:val="21"/>
          <w:szCs w:val="21"/>
          <w:lang w:eastAsia="zh-CN"/>
        </w:rPr>
      </w:pPr>
      <w:r>
        <w:rPr>
          <w:rFonts w:ascii="Times New Roman" w:cs="Times New Roman" w:hAnsi="Times New Roman"/>
          <w:b w:val="0"/>
          <w:bCs/>
          <w:color w:val="auto"/>
          <w:sz w:val="21"/>
          <w:szCs w:val="21"/>
          <w:lang w:eastAsia="zh-CN"/>
        </w:rPr>
        <w:br w:type="page"/>
      </w:r>
      <w:bookmarkStart w:id="582" w:name="_Toc21726"/>
      <w:bookmarkStart w:id="583" w:name="_Toc57364993"/>
      <w:bookmarkStart w:id="584" w:name="_Toc9704"/>
      <w:bookmarkStart w:id="585" w:name="_Toc14078741"/>
      <w:bookmarkStart w:id="586" w:name="_Toc100246539"/>
      <w:bookmarkStart w:id="587" w:name="_Toc11159947"/>
      <w:bookmarkStart w:id="588" w:name="_GoBack"/>
      <w:bookmarkEnd w:id="588"/>
      <w:r>
        <w:rPr>
          <w:rFonts w:ascii="Times New Roman" w:cs="Times New Roman" w:hAnsi="Times New Roman"/>
          <w:color w:val="auto"/>
          <w:sz w:val="21"/>
          <w:szCs w:val="21"/>
          <w:lang w:eastAsia="zh-CN"/>
        </w:rPr>
        <w:t>第二十四部分  其他事项</w:t>
      </w:r>
      <w:bookmarkEnd w:id="582"/>
      <w:bookmarkEnd w:id="583"/>
      <w:bookmarkEnd w:id="584"/>
      <w:bookmarkEnd w:id="585"/>
      <w:bookmarkEnd w:id="586"/>
      <w:bookmarkEnd w:id="587"/>
    </w:p>
    <w:p w14:paraId="2DA8A830">
      <w:pPr>
        <w:spacing w:after="0" w:line="360" w:lineRule="auto"/>
        <w:ind w:firstLine="420"/>
        <w:rPr>
          <w:rFonts w:ascii="Times New Roman" w:cs="Times New Roman" w:hAnsi="Times New Roman"/>
          <w:szCs w:val="21"/>
          <w:lang w:eastAsia="zh-CN"/>
        </w:rPr>
      </w:pPr>
    </w:p>
    <w:p w14:paraId="3A49003F">
      <w:pPr>
        <w:spacing w:after="0" w:line="360" w:lineRule="auto"/>
        <w:ind w:firstLine="420"/>
        <w:rPr>
          <w:rFonts w:ascii="Times New Roman" w:cs="Times New Roman" w:hAnsi="Times New Roman"/>
          <w:szCs w:val="21"/>
          <w:lang w:eastAsia="zh-CN"/>
        </w:rPr>
      </w:pPr>
      <w:r>
        <w:rPr>
          <w:rFonts w:ascii="Times New Roman" w:cs="Times New Roman" w:hAnsi="Times New Roman"/>
          <w:szCs w:val="21"/>
          <w:lang w:eastAsia="zh-CN"/>
        </w:rPr>
        <w:t>《基金合同》如有未尽事宜，由《基金合同》当事人各方按有关法律法规协商解决。</w:t>
      </w:r>
    </w:p>
    <w:bookmarkEnd w:id="80"/>
    <w:bookmarkEnd w:id="81"/>
    <w:p w14:paraId="678C0A64">
      <w:pPr>
        <w:widowControl/>
        <w:spacing w:after="0" w:line="240" w:lineRule="auto"/>
        <w:jc w:val="left"/>
        <w:rPr>
          <w:rFonts w:ascii="Times New Roman" w:cs="Times New Roman" w:hAnsi="Times New Roman"/>
          <w:bCs/>
          <w:szCs w:val="21"/>
          <w:lang w:eastAsia="zh-CN"/>
        </w:rPr>
      </w:pPr>
      <w:r>
        <w:rPr>
          <w:rFonts w:ascii="Times New Roman" w:cs="Times New Roman" w:hAnsi="Times New Roman"/>
          <w:bCs/>
          <w:szCs w:val="21"/>
          <w:lang w:eastAsia="zh-CN"/>
        </w:rPr>
        <w:br w:type="page"/>
      </w:r>
    </w:p>
    <w:p w14:paraId="7068178C">
      <w:pPr>
        <w:widowControl/>
        <w:spacing w:after="0" w:line="240" w:lineRule="auto"/>
        <w:jc w:val="left"/>
        <w:rPr>
          <w:rFonts w:ascii="Times New Roman" w:cs="Times New Roman" w:hAnsi="Times New Roman"/>
          <w:bCs/>
          <w:szCs w:val="21"/>
          <w:lang w:eastAsia="zh-CN"/>
        </w:rPr>
      </w:pPr>
    </w:p>
    <w:sectPr>
      <w:headerReference r:id="rId10" w:type="default"/>
      <w:pgSz w:h="16838" w:w="11906"/>
      <w:pgMar w:bottom="1440" w:footer="992" w:gutter="0" w:header="851" w:left="1800" w:right="1800" w:top="1440"/>
      <w:pgNumType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id w:val="1993644955"/>
      <w:richText/>
    </w:sdtPr>
    <w:sdtContent>
      <w:p w14:paraId="596776AE">
        <w:pPr>
          <w:pStyle w:val="Footer"/>
          <w:jc w:val="center"/>
        </w:pPr>
        <w:r>
          <w:rPr>
            <w:rFonts w:ascii="Times New Roman" w:cs="Times New Roman" w:hAnsi="Times New Roman"/>
          </w:rPr>
          <w:fldChar w:fldCharType="begin"/>
        </w:r>
        <w:r>
          <w:rPr>
            <w:rFonts w:ascii="Times New Roman" w:cs="Times New Roman" w:hAnsi="Times New Roman"/>
          </w:rPr>
          <w:instrText>PAGE   \* MERGEFORMAT</w:instrText>
        </w:r>
        <w:r>
          <w:rPr>
            <w:rFonts w:ascii="Times New Roman" w:cs="Times New Roman" w:hAnsi="Times New Roman"/>
          </w:rPr>
          <w:fldChar w:fldCharType="separate"/>
        </w:r>
        <w:r>
          <w:rPr>
            <w:rFonts w:ascii="Times New Roman" w:cs="Times New Roman" w:hAnsi="Times New Roman"/>
            <w:lang w:eastAsia="zh-CN" w:val="zh-CN"/>
          </w:rPr>
          <w:t>51</w:t>
        </w:r>
        <w:r>
          <w:rPr>
            <w:rFonts w:ascii="Times New Roman" w:cs="Times New Roman" w:hAnsi="Times New Roman"/>
          </w:rPr>
          <w:fldChar w:fldCharType="end"/>
        </w:r>
      </w:p>
    </w:sdtContent>
  </w:sdt>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73EAC83">
    <w:pPr>
      <w:pStyle w:val="Footer"/>
      <w:snapToGrid/>
    </w:pPr>
  </w:p>
  <w:p w14:paraId="1A6D042B">
    <w:pPr>
      <w:pStyle w:val="Footer"/>
      <w:snapToGrid/>
      <w:jc w:val="right"/>
    </w:pPr>
  </w:p>
</w:ftr>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243CF25">
    <w:pPr>
      <w:pStyle w:val="Header"/>
      <w:pBdr>
        <w:bottom w:color="auto" w:space="0" w:sz="0" w:val="none"/>
      </w:pBd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03E359A8">
    <w:pPr>
      <w:pStyle w:val="Header"/>
      <w:pBdr>
        <w:bottom w:color="auto" w:space="1" w:sz="4" w:val="single"/>
      </w:pBdr>
      <w:tabs>
        <w:tab w:pos="8280" w:val="right"/>
      </w:tabs>
      <w:snapToGrid/>
      <w:jc w:val="right"/>
      <w:rPr>
        <w:rFonts w:ascii="Times New Roman" w:cs="Times New Roman" w:hAnsi="Times New Roman"/>
        <w:szCs w:val="18"/>
        <w:lang w:eastAsia="zh-CN"/>
      </w:rPr>
    </w:pPr>
    <w:r>
      <w:rPr>
        <w:rFonts w:ascii="Times New Roman" w:cs="Times New Roman" w:hAnsi="Times New Roman" w:hint="eastAsia"/>
        <w:color w:val="000000"/>
        <w:szCs w:val="18"/>
        <w:lang w:eastAsia="zh-CN"/>
      </w:rPr>
      <w:t>华夏中证卫星产业交易型开放式指数</w:t>
    </w:r>
    <w:r>
      <w:rPr>
        <w:rFonts w:ascii="Times New Roman" w:cs="Times New Roman" w:hAnsi="Times New Roman" w:hint="eastAsia"/>
        <w:szCs w:val="18"/>
        <w:lang w:eastAsia="zh-CN"/>
      </w:rPr>
      <w:t>证券投资基金基金合同</w:t>
    </w: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666963B">
    <w:pPr>
      <w:pStyle w:val="Header"/>
      <w:pBdr>
        <w:bottom w:color="auto" w:space="1" w:sz="4" w:val="single"/>
      </w:pBdr>
      <w:tabs>
        <w:tab w:pos="8280" w:val="right"/>
      </w:tabs>
      <w:snapToGrid/>
      <w:jc w:val="right"/>
      <w:rPr>
        <w:lang w:eastAsia="zh-CN"/>
      </w:rPr>
    </w:pPr>
    <w:r>
      <w:rPr>
        <w:rFonts w:hint="eastAsia"/>
        <w:color w:val="000000"/>
        <w:lang w:eastAsia="zh-CN"/>
      </w:rPr>
      <w:t>华夏中证卫星产业交易型开放式指数</w:t>
    </w:r>
    <w:r>
      <w:rPr>
        <w:rFonts w:hint="eastAsia"/>
        <w:lang w:eastAsia="zh-CN"/>
      </w:rPr>
      <w:t>证券投资基金基金合同</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CF092B84"/>
    <w:multiLevelType w:val="multilevel"/>
    <w:tmpl w:val="CF092B84"/>
    <w:lvl w:ilvl="0">
      <w:start w:val="1"/>
      <w:numFmt w:val="chineseCounting"/>
      <w:suff w:val="nothing"/>
      <w:lvlText w:val="（%1）"/>
      <w:lvlJc w:val="left"/>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1">
    <w:nsid w:val="0053208E"/>
    <w:multiLevelType w:val="multilevel"/>
    <w:tmpl w:val="0053208E"/>
    <w:lvl w:ilvl="0">
      <w:start w:val="1"/>
      <w:numFmt w:val="bullet"/>
      <w:pStyle w:val="Listbullet"/>
      <w:lvlText w:val=""/>
      <w:lvlJc w:val="left"/>
      <w:pPr>
        <w:tabs>
          <w:tab w:pos="360" w:val="left"/>
        </w:tabs>
        <w:ind w:hanging="360" w:left="360"/>
      </w:pPr>
      <w:rPr>
        <w:rFonts w:ascii="Symbol" w:hAnsi="Symbol" w:hint="default"/>
        <w:color w:val="auto"/>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合规部-夏樱芷">
    <w15:presenceInfo w15:providerId="AD" w15:userId="S-1-5-21-4040542111-3479009570-1042660180-24359"/>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mc:Ignorable="w14 w15">
  <w:zoom w:percent="140"/>
  <w:bordersDoNotSurroundHeader/>
  <w:bordersDoNotSurroundFooter/>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8B9"/>
    <w:rsid w:val="827E7D48"/>
    <w:rsid w:val="BD82DEC8"/>
    <w:rsid w:val="BFED49C3"/>
    <w:rsid w:val="FFFF018E"/>
    <w:rsid w:val="00002843"/>
    <w:rsid w:val="00010C79"/>
    <w:rsid w:val="00012922"/>
    <w:rsid w:val="000143AE"/>
    <w:rsid w:val="00014C2A"/>
    <w:rsid w:val="00026418"/>
    <w:rsid w:val="00033BB9"/>
    <w:rsid w:val="00035DFD"/>
    <w:rsid w:val="00041594"/>
    <w:rsid w:val="00050678"/>
    <w:rsid w:val="000514F3"/>
    <w:rsid w:val="00051905"/>
    <w:rsid w:val="00073CAF"/>
    <w:rsid w:val="00076CD6"/>
    <w:rsid w:val="00081E82"/>
    <w:rsid w:val="00082B98"/>
    <w:rsid w:val="000849A0"/>
    <w:rsid w:val="00084C6E"/>
    <w:rsid w:val="000920BD"/>
    <w:rsid w:val="00093879"/>
    <w:rsid w:val="00097A7B"/>
    <w:rsid w:val="000A28A2"/>
    <w:rsid w:val="000B20F2"/>
    <w:rsid w:val="000B44F8"/>
    <w:rsid w:val="000C6EA8"/>
    <w:rsid w:val="000D3D2C"/>
    <w:rsid w:val="000D5B75"/>
    <w:rsid w:val="000E1D79"/>
    <w:rsid w:val="000E1F0C"/>
    <w:rsid w:val="000F543C"/>
    <w:rsid w:val="000F6213"/>
    <w:rsid w:val="000F6404"/>
    <w:rsid w:val="000F789C"/>
    <w:rsid w:val="001004B7"/>
    <w:rsid w:val="0010240A"/>
    <w:rsid w:val="00111DC0"/>
    <w:rsid w:val="00131422"/>
    <w:rsid w:val="00142148"/>
    <w:rsid w:val="0014440C"/>
    <w:rsid w:val="001545EF"/>
    <w:rsid w:val="00154C2F"/>
    <w:rsid w:val="001550CD"/>
    <w:rsid w:val="0016436B"/>
    <w:rsid w:val="001A2A61"/>
    <w:rsid w:val="001C2586"/>
    <w:rsid w:val="001C3E59"/>
    <w:rsid w:val="001D122D"/>
    <w:rsid w:val="001D789E"/>
    <w:rsid w:val="001E2A8E"/>
    <w:rsid w:val="001E3DA7"/>
    <w:rsid w:val="001E75F6"/>
    <w:rsid w:val="001F5153"/>
    <w:rsid w:val="001F5B20"/>
    <w:rsid w:val="002017EA"/>
    <w:rsid w:val="00206F4D"/>
    <w:rsid w:val="00212650"/>
    <w:rsid w:val="00224477"/>
    <w:rsid w:val="002324ED"/>
    <w:rsid w:val="0023777C"/>
    <w:rsid w:val="00241A31"/>
    <w:rsid w:val="0025315D"/>
    <w:rsid w:val="002606AA"/>
    <w:rsid w:val="00262943"/>
    <w:rsid w:val="002629D5"/>
    <w:rsid w:val="00282D73"/>
    <w:rsid w:val="002835CD"/>
    <w:rsid w:val="00285DCD"/>
    <w:rsid w:val="00296B68"/>
    <w:rsid w:val="002A1246"/>
    <w:rsid w:val="002D0CB6"/>
    <w:rsid w:val="002E65C3"/>
    <w:rsid w:val="002F20A2"/>
    <w:rsid w:val="002F2E83"/>
    <w:rsid w:val="00306668"/>
    <w:rsid w:val="00306C70"/>
    <w:rsid w:val="003114E3"/>
    <w:rsid w:val="00313685"/>
    <w:rsid w:val="00314377"/>
    <w:rsid w:val="00316264"/>
    <w:rsid w:val="0032664E"/>
    <w:rsid w:val="0034301B"/>
    <w:rsid w:val="00353136"/>
    <w:rsid w:val="00360949"/>
    <w:rsid w:val="00362750"/>
    <w:rsid w:val="00375E89"/>
    <w:rsid w:val="003777B1"/>
    <w:rsid w:val="003778B9"/>
    <w:rsid w:val="00384802"/>
    <w:rsid w:val="00387242"/>
    <w:rsid w:val="003A0D87"/>
    <w:rsid w:val="003B0C8B"/>
    <w:rsid w:val="003B47C0"/>
    <w:rsid w:val="003B7B66"/>
    <w:rsid w:val="003C1D89"/>
    <w:rsid w:val="003C736D"/>
    <w:rsid w:val="003D13ED"/>
    <w:rsid w:val="003D738B"/>
    <w:rsid w:val="003E4627"/>
    <w:rsid w:val="003F445C"/>
    <w:rsid w:val="003F7561"/>
    <w:rsid w:val="003F762B"/>
    <w:rsid w:val="003F7BD0"/>
    <w:rsid w:val="004013EC"/>
    <w:rsid w:val="004102FE"/>
    <w:rsid w:val="0041385A"/>
    <w:rsid w:val="00420DD7"/>
    <w:rsid w:val="00426D5E"/>
    <w:rsid w:val="004308C6"/>
    <w:rsid w:val="00432FDE"/>
    <w:rsid w:val="00435E39"/>
    <w:rsid w:val="00441AE7"/>
    <w:rsid w:val="0044333B"/>
    <w:rsid w:val="0044534F"/>
    <w:rsid w:val="004505DE"/>
    <w:rsid w:val="00465B45"/>
    <w:rsid w:val="00474828"/>
    <w:rsid w:val="00482721"/>
    <w:rsid w:val="00482F8A"/>
    <w:rsid w:val="0048315A"/>
    <w:rsid w:val="0048485C"/>
    <w:rsid w:val="00491689"/>
    <w:rsid w:val="004A53A2"/>
    <w:rsid w:val="004B6CFF"/>
    <w:rsid w:val="004C55E9"/>
    <w:rsid w:val="004D1F12"/>
    <w:rsid w:val="004E56FF"/>
    <w:rsid w:val="004F2169"/>
    <w:rsid w:val="004F232E"/>
    <w:rsid w:val="005073A0"/>
    <w:rsid w:val="00510619"/>
    <w:rsid w:val="0051619D"/>
    <w:rsid w:val="00517CB4"/>
    <w:rsid w:val="005329D4"/>
    <w:rsid w:val="00543566"/>
    <w:rsid w:val="00544FD0"/>
    <w:rsid w:val="00561DBE"/>
    <w:rsid w:val="00562D37"/>
    <w:rsid w:val="00566AD2"/>
    <w:rsid w:val="00575D9C"/>
    <w:rsid w:val="005809CA"/>
    <w:rsid w:val="00584C0D"/>
    <w:rsid w:val="0059447D"/>
    <w:rsid w:val="00595A1B"/>
    <w:rsid w:val="0059659C"/>
    <w:rsid w:val="005A3FF3"/>
    <w:rsid w:val="005A74CE"/>
    <w:rsid w:val="005B0F65"/>
    <w:rsid w:val="005D3ED0"/>
    <w:rsid w:val="005D7A77"/>
    <w:rsid w:val="005E55AD"/>
    <w:rsid w:val="005F4224"/>
    <w:rsid w:val="006210AE"/>
    <w:rsid w:val="0062413C"/>
    <w:rsid w:val="00624793"/>
    <w:rsid w:val="00624DAD"/>
    <w:rsid w:val="006255A6"/>
    <w:rsid w:val="00630C1A"/>
    <w:rsid w:val="00635B24"/>
    <w:rsid w:val="00637CD9"/>
    <w:rsid w:val="00643717"/>
    <w:rsid w:val="00652CF9"/>
    <w:rsid w:val="0066012F"/>
    <w:rsid w:val="0066111A"/>
    <w:rsid w:val="0066339A"/>
    <w:rsid w:val="0067199C"/>
    <w:rsid w:val="006750C8"/>
    <w:rsid w:val="00685B52"/>
    <w:rsid w:val="00691914"/>
    <w:rsid w:val="006948A2"/>
    <w:rsid w:val="00694AD1"/>
    <w:rsid w:val="006A7F7F"/>
    <w:rsid w:val="006B0D56"/>
    <w:rsid w:val="006B2722"/>
    <w:rsid w:val="006B643D"/>
    <w:rsid w:val="006C5969"/>
    <w:rsid w:val="006C672E"/>
    <w:rsid w:val="006D0D5E"/>
    <w:rsid w:val="006E1B09"/>
    <w:rsid w:val="006F43E2"/>
    <w:rsid w:val="006F60A5"/>
    <w:rsid w:val="007024CC"/>
    <w:rsid w:val="00703719"/>
    <w:rsid w:val="0071552B"/>
    <w:rsid w:val="00717959"/>
    <w:rsid w:val="007330AE"/>
    <w:rsid w:val="00737727"/>
    <w:rsid w:val="00740683"/>
    <w:rsid w:val="007443CE"/>
    <w:rsid w:val="00750B8A"/>
    <w:rsid w:val="007517DD"/>
    <w:rsid w:val="00751CC1"/>
    <w:rsid w:val="0075462D"/>
    <w:rsid w:val="00763AB4"/>
    <w:rsid w:val="00767784"/>
    <w:rsid w:val="00786EAE"/>
    <w:rsid w:val="007B2CB7"/>
    <w:rsid w:val="007B3161"/>
    <w:rsid w:val="007C1D82"/>
    <w:rsid w:val="007C3D5B"/>
    <w:rsid w:val="007D1CCA"/>
    <w:rsid w:val="007D3F70"/>
    <w:rsid w:val="007E03C9"/>
    <w:rsid w:val="007F0B0E"/>
    <w:rsid w:val="007F66B8"/>
    <w:rsid w:val="00800163"/>
    <w:rsid w:val="00800B56"/>
    <w:rsid w:val="008138C6"/>
    <w:rsid w:val="00821862"/>
    <w:rsid w:val="00825642"/>
    <w:rsid w:val="00833346"/>
    <w:rsid w:val="008336E5"/>
    <w:rsid w:val="008358D9"/>
    <w:rsid w:val="008532F8"/>
    <w:rsid w:val="008700E1"/>
    <w:rsid w:val="008806C4"/>
    <w:rsid w:val="008827A1"/>
    <w:rsid w:val="008839EA"/>
    <w:rsid w:val="00885801"/>
    <w:rsid w:val="00894AA9"/>
    <w:rsid w:val="008A1C88"/>
    <w:rsid w:val="008A2F49"/>
    <w:rsid w:val="008B1B83"/>
    <w:rsid w:val="008E2353"/>
    <w:rsid w:val="008E353F"/>
    <w:rsid w:val="008F1E47"/>
    <w:rsid w:val="008F4B70"/>
    <w:rsid w:val="008F652C"/>
    <w:rsid w:val="00920F68"/>
    <w:rsid w:val="009344A3"/>
    <w:rsid w:val="00951F63"/>
    <w:rsid w:val="00956B40"/>
    <w:rsid w:val="0098757D"/>
    <w:rsid w:val="009907E2"/>
    <w:rsid w:val="00997A1D"/>
    <w:rsid w:val="009A12A9"/>
    <w:rsid w:val="009A35A3"/>
    <w:rsid w:val="009B1A78"/>
    <w:rsid w:val="009B47A9"/>
    <w:rsid w:val="009C6823"/>
    <w:rsid w:val="009D5ECA"/>
    <w:rsid w:val="009F1200"/>
    <w:rsid w:val="00A03EE5"/>
    <w:rsid w:val="00A05B4A"/>
    <w:rsid w:val="00A22337"/>
    <w:rsid w:val="00A363B6"/>
    <w:rsid w:val="00A47AA7"/>
    <w:rsid w:val="00A47DEB"/>
    <w:rsid w:val="00A51F79"/>
    <w:rsid w:val="00A56BB3"/>
    <w:rsid w:val="00A57D60"/>
    <w:rsid w:val="00A67F96"/>
    <w:rsid w:val="00A70D8D"/>
    <w:rsid w:val="00A77AB8"/>
    <w:rsid w:val="00A87294"/>
    <w:rsid w:val="00A93019"/>
    <w:rsid w:val="00A96439"/>
    <w:rsid w:val="00AB234D"/>
    <w:rsid w:val="00AC1C23"/>
    <w:rsid w:val="00AC48ED"/>
    <w:rsid w:val="00AC4E25"/>
    <w:rsid w:val="00AE3CE1"/>
    <w:rsid w:val="00AE562B"/>
    <w:rsid w:val="00AE56F6"/>
    <w:rsid w:val="00AE6007"/>
    <w:rsid w:val="00AE657F"/>
    <w:rsid w:val="00B05C37"/>
    <w:rsid w:val="00B06D3F"/>
    <w:rsid w:val="00B10592"/>
    <w:rsid w:val="00B12114"/>
    <w:rsid w:val="00B137C3"/>
    <w:rsid w:val="00B2279C"/>
    <w:rsid w:val="00B25226"/>
    <w:rsid w:val="00B36308"/>
    <w:rsid w:val="00B368E1"/>
    <w:rsid w:val="00B37F31"/>
    <w:rsid w:val="00B40F47"/>
    <w:rsid w:val="00B51221"/>
    <w:rsid w:val="00B520EF"/>
    <w:rsid w:val="00B52428"/>
    <w:rsid w:val="00B53FCA"/>
    <w:rsid w:val="00B54410"/>
    <w:rsid w:val="00B66B3C"/>
    <w:rsid w:val="00B70CD2"/>
    <w:rsid w:val="00B75E95"/>
    <w:rsid w:val="00B80A9A"/>
    <w:rsid w:val="00B83C71"/>
    <w:rsid w:val="00B8586B"/>
    <w:rsid w:val="00B86971"/>
    <w:rsid w:val="00B87923"/>
    <w:rsid w:val="00B94E4C"/>
    <w:rsid w:val="00BA2E3E"/>
    <w:rsid w:val="00BB0994"/>
    <w:rsid w:val="00BB3989"/>
    <w:rsid w:val="00BB6031"/>
    <w:rsid w:val="00BC241A"/>
    <w:rsid w:val="00BE2C1D"/>
    <w:rsid w:val="00BE5B91"/>
    <w:rsid w:val="00BE644C"/>
    <w:rsid w:val="00BF04D6"/>
    <w:rsid w:val="00C02217"/>
    <w:rsid w:val="00C031CE"/>
    <w:rsid w:val="00C03999"/>
    <w:rsid w:val="00C17A12"/>
    <w:rsid w:val="00C2264D"/>
    <w:rsid w:val="00C275D1"/>
    <w:rsid w:val="00C4645C"/>
    <w:rsid w:val="00C64923"/>
    <w:rsid w:val="00C65FB0"/>
    <w:rsid w:val="00C81A79"/>
    <w:rsid w:val="00C912BC"/>
    <w:rsid w:val="00CB1D35"/>
    <w:rsid w:val="00CB29BF"/>
    <w:rsid w:val="00CC0A42"/>
    <w:rsid w:val="00CC477B"/>
    <w:rsid w:val="00CD0698"/>
    <w:rsid w:val="00CD34DE"/>
    <w:rsid w:val="00CD526E"/>
    <w:rsid w:val="00CE3F6C"/>
    <w:rsid w:val="00D026D0"/>
    <w:rsid w:val="00D10415"/>
    <w:rsid w:val="00D10B03"/>
    <w:rsid w:val="00D25696"/>
    <w:rsid w:val="00D270FC"/>
    <w:rsid w:val="00D45AE5"/>
    <w:rsid w:val="00D45F5F"/>
    <w:rsid w:val="00D4718B"/>
    <w:rsid w:val="00D532EB"/>
    <w:rsid w:val="00D557CA"/>
    <w:rsid w:val="00D713D5"/>
    <w:rsid w:val="00DA3642"/>
    <w:rsid w:val="00DA4788"/>
    <w:rsid w:val="00DA637B"/>
    <w:rsid w:val="00DA709F"/>
    <w:rsid w:val="00DA7DC8"/>
    <w:rsid w:val="00DB26CE"/>
    <w:rsid w:val="00DC7E21"/>
    <w:rsid w:val="00DD01CC"/>
    <w:rsid w:val="00DD0D06"/>
    <w:rsid w:val="00DD2CE1"/>
    <w:rsid w:val="00DF15DA"/>
    <w:rsid w:val="00DF56DE"/>
    <w:rsid w:val="00E07B4E"/>
    <w:rsid w:val="00E13C30"/>
    <w:rsid w:val="00E22F30"/>
    <w:rsid w:val="00E274FC"/>
    <w:rsid w:val="00E46F8C"/>
    <w:rsid w:val="00E54DC8"/>
    <w:rsid w:val="00E57F09"/>
    <w:rsid w:val="00E63378"/>
    <w:rsid w:val="00E649AD"/>
    <w:rsid w:val="00E8717B"/>
    <w:rsid w:val="00E947B7"/>
    <w:rsid w:val="00EA167D"/>
    <w:rsid w:val="00EA7C71"/>
    <w:rsid w:val="00EB0D15"/>
    <w:rsid w:val="00EB687A"/>
    <w:rsid w:val="00EE4CBA"/>
    <w:rsid w:val="00EE5D8B"/>
    <w:rsid w:val="00EF4F92"/>
    <w:rsid w:val="00F11174"/>
    <w:rsid w:val="00F1510E"/>
    <w:rsid w:val="00F22F1A"/>
    <w:rsid w:val="00F273AE"/>
    <w:rsid w:val="00F521E5"/>
    <w:rsid w:val="00F558E5"/>
    <w:rsid w:val="00F56551"/>
    <w:rsid w:val="00F642B6"/>
    <w:rsid w:val="00F7154D"/>
    <w:rsid w:val="00F916F5"/>
    <w:rsid w:val="00FA190C"/>
    <w:rsid w:val="00FA62AC"/>
    <w:rsid w:val="00FA783D"/>
    <w:rsid w:val="00FA7C03"/>
    <w:rsid w:val="00FB5333"/>
    <w:rsid w:val="00FB5A82"/>
    <w:rsid w:val="00FC3186"/>
    <w:rsid w:val="00FD03E4"/>
    <w:rsid w:val="00FE1A13"/>
    <w:rsid w:val="00FF65FD"/>
    <w:rsid w:val="05A564F1"/>
    <w:rsid w:val="194815C4"/>
    <w:rsid w:val="1DB307F2"/>
    <w:rsid w:val="1F226D30"/>
    <w:rsid w:val="1FE07FFA"/>
    <w:rsid w:val="264D4F65"/>
    <w:rsid w:val="39D26F6B"/>
    <w:rsid w:val="6EAA283E"/>
    <w:rsid w:val="6F5BE60F"/>
    <w:rsid w:val="6FDED2FD"/>
    <w:rsid w:val="75BB0355"/>
    <w:rsid w:val="7BDEC5ED"/>
    <w:rsid w:val="7EBFA9F9"/>
  </w:rsids>
  <m:mathPr>
    <m:mathFont m:val="Cambria Math"/>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宋体" w:hAnsi="Cambria"/>
        <w:lang w:bidi="ar-SA" w:eastAsia="en-US" w:val="en-US"/>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semiHidden="0" w:uiPriority="0" w:unhideWhenUsed="0"/>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lsdException w:name="index 2"/>
    <w:lsdException w:name="index 3"/>
    <w:lsdException w:name="index 4"/>
    <w:lsdException w:name="index 5"/>
    <w:lsdException w:name="index 6"/>
    <w:lsdException w:name="index 7"/>
    <w:lsdException w:name="index 8"/>
    <w:lsdException w:name="index 9"/>
    <w:lsdException w:name="toc 1" w:qFormat="1" w:semiHidden="0" w:uiPriority="0" w:unhideWhenUsed="0"/>
    <w:lsdException w:name="toc 2" w:qFormat="1" w:semiHidden="0" w:uiPriority="39"/>
    <w:lsdException w:name="toc 3" w:qFormat="1" w:semiHidden="0" w:uiPriority="0" w:unhideWhenUsed="0"/>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qFormat="1"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nhideWhenUsed="0"/>
    <w:lsdException w:name="index heading"/>
    <w:lsdException w:name="caption" w:qFormat="1" w:uiPriority="35"/>
    <w:lsdException w:name="table of figures" w:qFormat="1" w:semiHidden="0"/>
    <w:lsdException w:name="envelope address"/>
    <w:lsdException w:name="envelope return"/>
    <w:lsdException w:name="footnote reference" w:qFormat="1" w:semiHidden="0" w:uiPriority="0" w:unhideWhenUsed="0"/>
    <w:lsdException w:name="annotation reference" w:qFormat="1" w:semiHidden="0" w:uiPriority="0" w:unhideWhenUsed="0"/>
    <w:lsdException w:name="line number"/>
    <w:lsdException w:name="page number" w:qFormat="1" w:semiHidden="0" w:uiPriority="0" w:unhideWhenUsed="0"/>
    <w:lsdException w:name="endnote reference" w:qFormat="1"/>
    <w:lsdException w:name="endnote text" w:qFormat="1"/>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qFormat="1" w:semiHidden="0" w:uiPriority="0" w:unhideWhenUsed="0"/>
    <w:lsdException w:name="Closing"/>
    <w:lsdException w:name="Signature"/>
    <w:lsdException w:name="Default Paragraph Font" w:uiPriority="1"/>
    <w:lsdException w:name="Body Text" w:qFormat="1" w:semiHidden="0" w:uiPriority="0" w:unhideWhenUsed="0"/>
    <w:lsdException w:name="Body Text Indent"/>
    <w:lsdException w:name="List Continue"/>
    <w:lsdException w:name="List Continue 2"/>
    <w:lsdException w:name="List Continue 3"/>
    <w:lsdException w:name="List Continue 4"/>
    <w:lsdException w:name="List Continue 5"/>
    <w:lsdException w:name="Message Header"/>
    <w:lsdException w:name="Subtitle" w:qFormat="1" w:semiHidden="0" w:uiPriority="11" w:unhideWhenUsed="0"/>
    <w:lsdException w:name="Salutation"/>
    <w:lsdException w:name="Date"/>
    <w:lsdException w:name="Body Text First Indent"/>
    <w:lsdException w:name="Body Text First Indent 2"/>
    <w:lsdException w:name="Note Heading"/>
    <w:lsdException w:name="Body Text 2"/>
    <w:lsdException w:name="Body Text 3"/>
    <w:lsdException w:name="Body Text Indent 2" w:qFormat="1" w:semiHidden="0" w:uiPriority="0" w:unhideWhenUsed="0"/>
    <w:lsdException w:name="Body Text Indent 3" w:qFormat="1" w:semiHidden="0" w:uiPriority="0" w:unhideWhenUsed="0"/>
    <w:lsdException w:name="Block Text"/>
    <w:lsdException w:name="Hyperlink" w:qFormat="1" w:semiHidden="0" w:unhideWhenUsed="0"/>
    <w:lsdException w:name="FollowedHyperlink"/>
    <w:lsdException w:name="Strong" w:qFormat="1" w:semiHidden="0" w:uiPriority="22" w:unhideWhenUsed="0"/>
    <w:lsdException w:name="Emphasis" w:qFormat="1" w:semiHidden="0" w:uiPriority="20" w:unhideWhenUsed="0"/>
    <w:lsdException w:name="Document Map" w:qFormat="1" w:semiHidden="0" w:uiPriority="0" w:unhideWhenUsed="0"/>
    <w:lsdException w:name="Plain Text" w:qFormat="1" w:semiHidden="0" w:uiPriority="0" w:unhideWhenUsed="0"/>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qFormat="1"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semiHidden="0" w:uiPriority="0" w:unhideWhenUsed="0"/>
    <w:lsdException w:name="Table Grid" w:qFormat="1" w:semiHidden="0" w:uiPriority="59" w:unhideWhenUsed="0"/>
    <w:lsdException w:name="Table Theme"/>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Normal" w:type="paragraph">
    <w:name w:val="Normal"/>
    <w:qFormat/>
    <w:pPr>
      <w:widowControl w:val="0"/>
      <w:spacing w:after="200" w:line="276" w:lineRule="auto"/>
      <w:jc w:val="both"/>
    </w:pPr>
    <w:rPr>
      <w:rFonts w:ascii="Calibri" w:cs="Calibri" w:eastAsia="宋体" w:hAnsi="Cambria"/>
      <w:sz w:val="21"/>
      <w:szCs w:val="22"/>
      <w:lang w:bidi="ar-SA" w:eastAsia="en-US" w:val="en-US"/>
    </w:rPr>
  </w:style>
  <w:style w:styleId="Heading1" w:type="paragraph">
    <w:name w:val="heading 1"/>
    <w:basedOn w:val="Normal"/>
    <w:next w:val="Normal"/>
    <w:link w:val="13"/>
    <w:qFormat/>
    <w:pPr>
      <w:keepNext/>
      <w:keepLines/>
      <w:spacing w:after="120" w:before="120" w:line="360" w:lineRule="auto"/>
      <w:outlineLvl w:val="0"/>
    </w:pPr>
    <w:rPr>
      <w:rFonts w:ascii="宋体"/>
      <w:b/>
      <w:color w:val="000000"/>
      <w:sz w:val="24"/>
    </w:rPr>
  </w:style>
  <w:style w:styleId="Heading2" w:type="paragraph">
    <w:name w:val="heading 2"/>
    <w:basedOn w:val="Normal"/>
    <w:next w:val="Normal"/>
    <w:qFormat/>
    <w:pPr>
      <w:keepNext/>
      <w:keepLines/>
      <w:spacing w:after="260" w:before="260" w:line="413" w:lineRule="auto"/>
      <w:outlineLvl w:val="1"/>
    </w:pPr>
    <w:rPr>
      <w:rFonts w:ascii="Arial" w:eastAsia="黑体" w:hAnsi="Arial"/>
      <w:b/>
      <w:sz w:val="32"/>
    </w:rPr>
  </w:style>
  <w:style w:styleId="Heading3" w:type="paragraph">
    <w:name w:val="heading 3"/>
    <w:basedOn w:val="Normal"/>
    <w:next w:val="Normal"/>
    <w:qFormat/>
    <w:pPr>
      <w:keepNext/>
      <w:keepLines/>
      <w:spacing w:after="260" w:before="260" w:line="413" w:lineRule="auto"/>
      <w:outlineLvl w:val="2"/>
    </w:pPr>
    <w:rPr>
      <w:b/>
      <w:sz w:val="32"/>
    </w:rPr>
  </w:style>
  <w:style w:styleId="Heading4" w:type="paragraph">
    <w:name w:val="heading 4"/>
    <w:basedOn w:val="Normal"/>
    <w:next w:val="Normal"/>
    <w:link w:val="4"/>
    <w:uiPriority w:val="9"/>
    <w:unhideWhenUsed/>
    <w:qFormat/>
    <w:pPr>
      <w:keepNext/>
      <w:keepLines/>
      <w:spacing w:before="320"/>
      <w:outlineLvl w:val="3"/>
    </w:pPr>
    <w:rPr>
      <w:rFonts w:ascii="Arial" w:cs="Arial" w:hAnsi="Arial"/>
      <w:b/>
      <w:bCs/>
      <w:sz w:val="26"/>
      <w:szCs w:val="26"/>
    </w:rPr>
  </w:style>
  <w:style w:styleId="Heading5" w:type="paragraph">
    <w:name w:val="heading 5"/>
    <w:basedOn w:val="Normal"/>
    <w:next w:val="Normal"/>
    <w:link w:val="5"/>
    <w:uiPriority w:val="9"/>
    <w:unhideWhenUsed/>
    <w:qFormat/>
    <w:pPr>
      <w:keepNext/>
      <w:keepLines/>
      <w:spacing w:before="320"/>
      <w:outlineLvl w:val="4"/>
    </w:pPr>
    <w:rPr>
      <w:rFonts w:ascii="Arial" w:cs="Arial" w:hAnsi="Arial"/>
      <w:b/>
      <w:bCs/>
      <w:sz w:val="24"/>
      <w:szCs w:val="24"/>
    </w:rPr>
  </w:style>
  <w:style w:styleId="Heading6" w:type="paragraph">
    <w:name w:val="heading 6"/>
    <w:basedOn w:val="Normal"/>
    <w:next w:val="Normal"/>
    <w:link w:val="6"/>
    <w:uiPriority w:val="9"/>
    <w:unhideWhenUsed/>
    <w:qFormat/>
    <w:pPr>
      <w:keepNext/>
      <w:keepLines/>
      <w:spacing w:before="320"/>
      <w:outlineLvl w:val="5"/>
    </w:pPr>
    <w:rPr>
      <w:rFonts w:ascii="Arial" w:cs="Arial" w:hAnsi="Arial"/>
      <w:b/>
      <w:bCs/>
      <w:sz w:val="22"/>
    </w:rPr>
  </w:style>
  <w:style w:styleId="Heading7" w:type="paragraph">
    <w:name w:val="heading 7"/>
    <w:basedOn w:val="Normal"/>
    <w:next w:val="Normal"/>
    <w:link w:val="7"/>
    <w:uiPriority w:val="9"/>
    <w:unhideWhenUsed/>
    <w:qFormat/>
    <w:pPr>
      <w:keepNext/>
      <w:keepLines/>
      <w:spacing w:before="320"/>
      <w:outlineLvl w:val="6"/>
    </w:pPr>
    <w:rPr>
      <w:rFonts w:ascii="Arial" w:cs="Arial" w:hAnsi="Arial"/>
      <w:b/>
      <w:bCs/>
      <w:i/>
      <w:iCs/>
      <w:sz w:val="22"/>
    </w:rPr>
  </w:style>
  <w:style w:styleId="Heading8" w:type="paragraph">
    <w:name w:val="heading 8"/>
    <w:basedOn w:val="Normal"/>
    <w:next w:val="Normal"/>
    <w:link w:val="8"/>
    <w:uiPriority w:val="9"/>
    <w:unhideWhenUsed/>
    <w:qFormat/>
    <w:pPr>
      <w:keepNext/>
      <w:keepLines/>
      <w:spacing w:before="320"/>
      <w:outlineLvl w:val="7"/>
    </w:pPr>
    <w:rPr>
      <w:rFonts w:ascii="Arial" w:cs="Arial" w:hAnsi="Arial"/>
      <w:i/>
      <w:iCs/>
      <w:sz w:val="22"/>
    </w:rPr>
  </w:style>
  <w:style w:styleId="Heading9" w:type="paragraph">
    <w:name w:val="heading 9"/>
    <w:basedOn w:val="Normal"/>
    <w:next w:val="Normal"/>
    <w:link w:val="9"/>
    <w:uiPriority w:val="9"/>
    <w:unhideWhenUsed/>
    <w:qFormat/>
    <w:pPr>
      <w:keepNext/>
      <w:keepLines/>
      <w:spacing w:before="320"/>
      <w:outlineLvl w:val="8"/>
    </w:pPr>
    <w:rPr>
      <w:rFonts w:ascii="Arial" w:cs="Arial" w:hAnsi="Arial"/>
      <w:i/>
      <w:iCs/>
      <w:szCs w:val="21"/>
    </w:rPr>
  </w:style>
  <w:style w:default="1" w:styleId="DefaultParagraphFont" w:type="character">
    <w:name w:val="Default Paragraph Font"/>
    <w:uiPriority w:val="1"/>
    <w:semiHidden/>
    <w:unhideWhenUsed/>
  </w:style>
  <w:style w:default="1" w:styleId="TableNormal" w:type="table">
    <w:name w:val="Normal Table"/>
    <w:uiPriority w:val="99"/>
    <w:semiHidden/>
    <w:unhideWhenUsed/>
    <w:qFormat/>
    <w:tblPr>
      <w:tblCellMar>
        <w:top w:type="dxa" w:w="0"/>
        <w:left w:type="dxa" w:w="108"/>
        <w:bottom w:type="dxa" w:w="0"/>
        <w:right w:type="dxa" w:w="108"/>
      </w:tblCellMar>
    </w:tblPr>
  </w:style>
  <w:style w:styleId="TOC7" w:type="paragraph">
    <w:name w:val="toc 7"/>
    <w:basedOn w:val="Normal"/>
    <w:next w:val="Normal"/>
    <w:uiPriority w:val="39"/>
    <w:unhideWhenUsed/>
    <w:qFormat/>
    <w:pPr>
      <w:spacing w:after="57"/>
      <w:ind w:left="1701"/>
    </w:pPr>
  </w:style>
  <w:style w:styleId="NormalIndent" w:type="paragraph">
    <w:name w:val="Normal Indent"/>
    <w:basedOn w:val="Normal"/>
    <w:qFormat/>
    <w:pPr>
      <w:ind w:firstLine="420"/>
    </w:pPr>
  </w:style>
  <w:style w:styleId="Caption" w:type="paragraph">
    <w:name w:val="caption"/>
    <w:basedOn w:val="Normal"/>
    <w:next w:val="Normal"/>
    <w:uiPriority w:val="35"/>
    <w:semiHidden/>
    <w:unhideWhenUsed/>
    <w:qFormat/>
    <w:rPr>
      <w:b/>
      <w:bCs/>
      <w:color w:themeColor="accent1" w:val="4F81BD"/>
      <w:sz w:val="18"/>
      <w:szCs w:val="18"/>
      <w14:textFill>
        <w14:solidFill>
          <w14:schemeClr w14:val="accent1"/>
        </w14:solidFill>
      </w14:textFill>
    </w:rPr>
  </w:style>
  <w:style w:styleId="DocumentMap" w:type="paragraph">
    <w:name w:val="Document Map"/>
    <w:basedOn w:val="Normal"/>
    <w:qFormat/>
    <w:pPr>
      <w:shd w:color="000080" w:fill="000080" w:val="clear"/>
    </w:pPr>
  </w:style>
  <w:style w:styleId="CommentText" w:type="paragraph">
    <w:name w:val="annotation text"/>
    <w:basedOn w:val="Normal"/>
    <w:link w:val="1"/>
    <w:qFormat/>
    <w:pPr>
      <w:jc w:val="left"/>
    </w:pPr>
  </w:style>
  <w:style w:styleId="BodyText" w:type="paragraph">
    <w:name w:val="Body Text"/>
    <w:basedOn w:val="Normal"/>
    <w:link w:val="a3"/>
    <w:qFormat/>
    <w:pPr>
      <w:spacing w:line="360" w:lineRule="auto"/>
      <w:jc w:val="left"/>
    </w:pPr>
    <w:rPr>
      <w:rFonts w:ascii="宋体"/>
      <w:sz w:val="20"/>
    </w:rPr>
  </w:style>
  <w:style w:styleId="TOC5" w:type="paragraph">
    <w:name w:val="toc 5"/>
    <w:basedOn w:val="Normal"/>
    <w:next w:val="Normal"/>
    <w:uiPriority w:val="39"/>
    <w:unhideWhenUsed/>
    <w:qFormat/>
    <w:pPr>
      <w:spacing w:after="57"/>
      <w:ind w:left="1134"/>
    </w:pPr>
  </w:style>
  <w:style w:styleId="TOC3" w:type="paragraph">
    <w:name w:val="toc 3"/>
    <w:basedOn w:val="Normal"/>
    <w:next w:val="Normal"/>
    <w:qFormat/>
    <w:pPr>
      <w:ind w:left="840"/>
    </w:pPr>
  </w:style>
  <w:style w:styleId="PlainText" w:type="paragraph">
    <w:name w:val="Plain Text"/>
    <w:basedOn w:val="Normal"/>
    <w:qFormat/>
    <w:pPr>
      <w:spacing w:line="312" w:lineRule="atLeast"/>
    </w:pPr>
    <w:rPr>
      <w:rFonts w:ascii="宋体" w:hAnsi="Courier New"/>
    </w:rPr>
  </w:style>
  <w:style w:styleId="TOC8" w:type="paragraph">
    <w:name w:val="toc 8"/>
    <w:basedOn w:val="Normal"/>
    <w:next w:val="Normal"/>
    <w:uiPriority w:val="39"/>
    <w:unhideWhenUsed/>
    <w:qFormat/>
    <w:pPr>
      <w:spacing w:after="57"/>
      <w:ind w:left="1984"/>
    </w:pPr>
  </w:style>
  <w:style w:styleId="BodyTextIndent2" w:type="paragraph">
    <w:name w:val="Body Text Indent 2"/>
    <w:basedOn w:val="Normal"/>
    <w:qFormat/>
    <w:pPr>
      <w:spacing w:line="360" w:lineRule="auto"/>
      <w:ind w:firstLine="425"/>
    </w:pPr>
    <w:rPr>
      <w:rFonts w:ascii="仿宋_GB2312" w:eastAsia="仿宋_GB2312"/>
      <w:sz w:val="28"/>
    </w:rPr>
  </w:style>
  <w:style w:styleId="EndnoteText" w:type="paragraph">
    <w:name w:val="endnote text"/>
    <w:basedOn w:val="Normal"/>
    <w:link w:val="a2"/>
    <w:uiPriority w:val="99"/>
    <w:semiHidden/>
    <w:unhideWhenUsed/>
    <w:qFormat/>
    <w:pPr>
      <w:spacing w:after="0" w:line="240" w:lineRule="auto"/>
    </w:pPr>
    <w:rPr>
      <w:sz w:val="20"/>
    </w:rPr>
  </w:style>
  <w:style w:styleId="BalloonText" w:type="paragraph">
    <w:name w:val="Balloon Text"/>
    <w:basedOn w:val="Normal"/>
    <w:qFormat/>
    <w:rPr>
      <w:sz w:val="18"/>
    </w:rPr>
  </w:style>
  <w:style w:styleId="Footer" w:type="paragraph">
    <w:name w:val="footer"/>
    <w:basedOn w:val="Normal"/>
    <w:link w:val="a8"/>
    <w:uiPriority w:val="99"/>
    <w:qFormat/>
    <w:pPr>
      <w:tabs>
        <w:tab w:pos="4153" w:val="center"/>
        <w:tab w:pos="8306" w:val="right"/>
      </w:tabs>
      <w:snapToGrid w:val="0"/>
      <w:jc w:val="left"/>
    </w:pPr>
    <w:rPr>
      <w:sz w:val="18"/>
    </w:rPr>
  </w:style>
  <w:style w:styleId="Header" w:type="paragraph">
    <w:name w:val="header"/>
    <w:basedOn w:val="Normal"/>
    <w:link w:val="a5"/>
    <w:qFormat/>
    <w:pPr>
      <w:pBdr>
        <w:bottom w:color="auto" w:space="1" w:sz="6" w:val="single"/>
      </w:pBdr>
      <w:tabs>
        <w:tab w:pos="4153" w:val="center"/>
        <w:tab w:pos="8306" w:val="right"/>
      </w:tabs>
      <w:snapToGrid w:val="0"/>
      <w:jc w:val="center"/>
    </w:pPr>
    <w:rPr>
      <w:sz w:val="18"/>
    </w:rPr>
  </w:style>
  <w:style w:styleId="TOC1" w:type="paragraph">
    <w:name w:val="toc 1"/>
    <w:basedOn w:val="Normal"/>
    <w:next w:val="Normal"/>
    <w:qFormat/>
    <w:pPr>
      <w:tabs>
        <w:tab w:leader="dot" w:pos="8296" w:val="right"/>
      </w:tabs>
      <w:spacing w:line="360" w:lineRule="auto"/>
    </w:pPr>
  </w:style>
  <w:style w:styleId="TOC4" w:type="paragraph">
    <w:name w:val="toc 4"/>
    <w:basedOn w:val="Normal"/>
    <w:next w:val="Normal"/>
    <w:uiPriority w:val="39"/>
    <w:unhideWhenUsed/>
    <w:qFormat/>
    <w:pPr>
      <w:spacing w:after="57"/>
      <w:ind w:left="850"/>
    </w:pPr>
  </w:style>
  <w:style w:styleId="Subtitle" w:type="paragraph">
    <w:name w:val="Subtitle"/>
    <w:basedOn w:val="Normal"/>
    <w:next w:val="Normal"/>
    <w:link w:val="a"/>
    <w:uiPriority w:val="11"/>
    <w:qFormat/>
    <w:pPr>
      <w:spacing w:before="200"/>
    </w:pPr>
    <w:rPr>
      <w:sz w:val="24"/>
      <w:szCs w:val="24"/>
    </w:rPr>
  </w:style>
  <w:style w:styleId="FootnoteText" w:type="paragraph">
    <w:name w:val="footnote text"/>
    <w:basedOn w:val="Normal"/>
    <w:qFormat/>
    <w:pPr>
      <w:snapToGrid w:val="0"/>
      <w:jc w:val="left"/>
    </w:pPr>
    <w:rPr>
      <w:sz w:val="18"/>
    </w:rPr>
  </w:style>
  <w:style w:styleId="TOC6" w:type="paragraph">
    <w:name w:val="toc 6"/>
    <w:basedOn w:val="Normal"/>
    <w:next w:val="Normal"/>
    <w:uiPriority w:val="39"/>
    <w:unhideWhenUsed/>
    <w:qFormat/>
    <w:pPr>
      <w:spacing w:after="57"/>
      <w:ind w:left="1417"/>
    </w:pPr>
  </w:style>
  <w:style w:styleId="BodyTextIndent3" w:type="paragraph">
    <w:name w:val="Body Text Indent 3"/>
    <w:basedOn w:val="Normal"/>
    <w:qFormat/>
    <w:pPr>
      <w:spacing w:line="360" w:lineRule="auto"/>
      <w:ind w:firstLine="435" w:left="420"/>
    </w:pPr>
    <w:rPr>
      <w:color w:val="0000FF"/>
    </w:rPr>
  </w:style>
  <w:style w:styleId="TableofFigures" w:type="paragraph">
    <w:name w:val="table of figures"/>
    <w:basedOn w:val="Normal"/>
    <w:next w:val="Normal"/>
    <w:uiPriority w:val="99"/>
    <w:unhideWhenUsed/>
    <w:qFormat/>
    <w:pPr>
      <w:spacing w:after="0"/>
    </w:pPr>
  </w:style>
  <w:style w:styleId="TOC2" w:type="paragraph">
    <w:name w:val="toc 2"/>
    <w:basedOn w:val="Normal"/>
    <w:next w:val="Normal"/>
    <w:uiPriority w:val="39"/>
    <w:unhideWhenUsed/>
    <w:qFormat/>
    <w:pPr>
      <w:spacing w:after="57"/>
      <w:ind w:left="283"/>
    </w:pPr>
  </w:style>
  <w:style w:styleId="TOC9" w:type="paragraph">
    <w:name w:val="toc 9"/>
    <w:basedOn w:val="Normal"/>
    <w:next w:val="Normal"/>
    <w:uiPriority w:val="39"/>
    <w:unhideWhenUsed/>
    <w:qFormat/>
    <w:pPr>
      <w:spacing w:after="57"/>
      <w:ind w:left="2268"/>
    </w:pPr>
  </w:style>
  <w:style w:styleId="NormalWeb" w:type="paragraph">
    <w:name w:val="Normal (Web)"/>
    <w:basedOn w:val="Normal"/>
    <w:uiPriority w:val="99"/>
    <w:semiHidden/>
    <w:unhideWhenUsed/>
    <w:qFormat/>
    <w:pPr>
      <w:widowControl/>
      <w:spacing w:after="100" w:afterAutospacing="1" w:before="100" w:beforeAutospacing="1"/>
      <w:jc w:val="left"/>
    </w:pPr>
    <w:rPr>
      <w:rFonts w:ascii="宋体" w:cs="宋体" w:hAnsi="宋体"/>
      <w:sz w:val="24"/>
      <w:szCs w:val="24"/>
    </w:rPr>
  </w:style>
  <w:style w:styleId="Title" w:type="paragraph">
    <w:name w:val="Title"/>
    <w:basedOn w:val="Normal"/>
    <w:next w:val="Normal"/>
    <w:link w:val="a4"/>
    <w:qFormat/>
    <w:pPr>
      <w:spacing w:after="60" w:before="240"/>
      <w:jc w:val="center"/>
      <w:outlineLvl w:val="0"/>
    </w:pPr>
    <w:rPr>
      <w:rFonts w:ascii="Cambria"/>
      <w:b/>
      <w:sz w:val="32"/>
    </w:rPr>
  </w:style>
  <w:style w:styleId="CommentSubject" w:type="paragraph">
    <w:name w:val="annotation subject"/>
    <w:basedOn w:val="CommentText"/>
    <w:next w:val="CommentText"/>
    <w:qFormat/>
    <w:rPr>
      <w:b/>
    </w:rPr>
  </w:style>
  <w:style w:styleId="TableGrid" w:type="table">
    <w:name w:val="Table Grid"/>
    <w:basedOn w:val="TableNormal"/>
    <w:uiPriority w:val="59"/>
    <w:qFormat/>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styleId="Strong" w:type="character">
    <w:name w:val="Strong"/>
    <w:basedOn w:val="DefaultParagraphFont"/>
    <w:uiPriority w:val="22"/>
    <w:qFormat/>
    <w:rPr>
      <w:b/>
      <w:bCs/>
    </w:rPr>
  </w:style>
  <w:style w:styleId="EndnoteReference" w:type="character">
    <w:name w:val="endnote reference"/>
    <w:basedOn w:val="DefaultParagraphFont"/>
    <w:uiPriority w:val="99"/>
    <w:semiHidden/>
    <w:unhideWhenUsed/>
    <w:qFormat/>
    <w:rPr>
      <w:vertAlign w:val="superscript"/>
    </w:rPr>
  </w:style>
  <w:style w:styleId="PageNumber" w:type="character">
    <w:name w:val="page number"/>
    <w:basedOn w:val="DefaultParagraphFont"/>
    <w:qFormat/>
  </w:style>
  <w:style w:styleId="Hyperlink" w:type="character">
    <w:name w:val="Hyperlink"/>
    <w:basedOn w:val="DefaultParagraphFont"/>
    <w:uiPriority w:val="99"/>
    <w:qFormat/>
    <w:rPr>
      <w:color w:val="0000FF"/>
      <w:u w:val="single"/>
    </w:rPr>
  </w:style>
  <w:style w:styleId="CommentReference" w:type="character">
    <w:name w:val="annotation reference"/>
    <w:basedOn w:val="DefaultParagraphFont"/>
    <w:qFormat/>
    <w:rPr>
      <w:sz w:val="21"/>
    </w:rPr>
  </w:style>
  <w:style w:styleId="FootnoteReference" w:type="character">
    <w:name w:val="footnote reference"/>
    <w:basedOn w:val="DefaultParagraphFont"/>
    <w:qFormat/>
    <w:rPr>
      <w:vertAlign w:val="superscript"/>
    </w:rPr>
  </w:style>
  <w:style w:customStyle="1" w:styleId="Heading1Char" w:type="character">
    <w:name w:val="Heading 1 Char"/>
    <w:basedOn w:val="DefaultParagraphFont"/>
    <w:uiPriority w:val="9"/>
    <w:qFormat/>
    <w:rPr>
      <w:rFonts w:ascii="Arial" w:cs="Arial" w:hAnsi="Arial"/>
      <w:sz w:val="40"/>
      <w:szCs w:val="40"/>
    </w:rPr>
  </w:style>
  <w:style w:customStyle="1" w:styleId="Heading2Char" w:type="character">
    <w:name w:val="Heading 2 Char"/>
    <w:basedOn w:val="DefaultParagraphFont"/>
    <w:uiPriority w:val="9"/>
    <w:qFormat/>
    <w:rPr>
      <w:rFonts w:ascii="Arial" w:cs="Arial" w:hAnsi="Arial"/>
      <w:sz w:val="34"/>
    </w:rPr>
  </w:style>
  <w:style w:customStyle="1" w:styleId="Heading3Char" w:type="character">
    <w:name w:val="Heading 3 Char"/>
    <w:basedOn w:val="DefaultParagraphFont"/>
    <w:uiPriority w:val="9"/>
    <w:qFormat/>
    <w:rPr>
      <w:rFonts w:ascii="Arial" w:cs="Arial" w:hAnsi="Arial"/>
      <w:sz w:val="30"/>
      <w:szCs w:val="30"/>
    </w:rPr>
  </w:style>
  <w:style w:customStyle="1" w:styleId="4" w:type="character">
    <w:name w:val="标题 4 字符"/>
    <w:basedOn w:val="DefaultParagraphFont"/>
    <w:link w:val="Heading4"/>
    <w:uiPriority w:val="9"/>
    <w:qFormat/>
    <w:rPr>
      <w:rFonts w:ascii="Arial" w:cs="Arial" w:hAnsi="Arial"/>
      <w:b/>
      <w:bCs/>
      <w:sz w:val="26"/>
      <w:szCs w:val="26"/>
    </w:rPr>
  </w:style>
  <w:style w:customStyle="1" w:styleId="5" w:type="character">
    <w:name w:val="标题 5 字符"/>
    <w:basedOn w:val="DefaultParagraphFont"/>
    <w:link w:val="Heading5"/>
    <w:uiPriority w:val="9"/>
    <w:qFormat/>
    <w:rPr>
      <w:rFonts w:ascii="Arial" w:cs="Arial" w:hAnsi="Arial"/>
      <w:b/>
      <w:bCs/>
      <w:sz w:val="24"/>
      <w:szCs w:val="24"/>
    </w:rPr>
  </w:style>
  <w:style w:customStyle="1" w:styleId="6" w:type="character">
    <w:name w:val="标题 6 字符"/>
    <w:basedOn w:val="DefaultParagraphFont"/>
    <w:link w:val="Heading6"/>
    <w:uiPriority w:val="9"/>
    <w:qFormat/>
    <w:rPr>
      <w:rFonts w:ascii="Arial" w:cs="Arial" w:hAnsi="Arial"/>
      <w:b/>
      <w:bCs/>
      <w:sz w:val="22"/>
      <w:szCs w:val="22"/>
    </w:rPr>
  </w:style>
  <w:style w:customStyle="1" w:styleId="7" w:type="character">
    <w:name w:val="标题 7 字符"/>
    <w:basedOn w:val="DefaultParagraphFont"/>
    <w:link w:val="Heading7"/>
    <w:uiPriority w:val="9"/>
    <w:qFormat/>
    <w:rPr>
      <w:rFonts w:ascii="Arial" w:cs="Arial" w:hAnsi="Arial"/>
      <w:b/>
      <w:bCs/>
      <w:i/>
      <w:iCs/>
      <w:sz w:val="22"/>
      <w:szCs w:val="22"/>
    </w:rPr>
  </w:style>
  <w:style w:customStyle="1" w:styleId="8" w:type="character">
    <w:name w:val="标题 8 字符"/>
    <w:basedOn w:val="DefaultParagraphFont"/>
    <w:link w:val="Heading8"/>
    <w:uiPriority w:val="9"/>
    <w:qFormat/>
    <w:rPr>
      <w:rFonts w:ascii="Arial" w:cs="Arial" w:hAnsi="Arial"/>
      <w:i/>
      <w:iCs/>
      <w:sz w:val="22"/>
      <w:szCs w:val="22"/>
    </w:rPr>
  </w:style>
  <w:style w:customStyle="1" w:styleId="9" w:type="character">
    <w:name w:val="标题 9 字符"/>
    <w:basedOn w:val="DefaultParagraphFont"/>
    <w:link w:val="Heading9"/>
    <w:uiPriority w:val="9"/>
    <w:qFormat/>
    <w:rPr>
      <w:rFonts w:ascii="Arial" w:cs="Arial" w:hAnsi="Arial"/>
      <w:i/>
      <w:iCs/>
      <w:sz w:val="21"/>
      <w:szCs w:val="21"/>
    </w:rPr>
  </w:style>
  <w:style w:styleId="ListParagraph" w:type="paragraph">
    <w:name w:val="List Paragraph"/>
    <w:basedOn w:val="Normal"/>
    <w:uiPriority w:val="34"/>
    <w:qFormat/>
    <w:pPr>
      <w:ind w:left="720"/>
      <w:contextualSpacing/>
    </w:pPr>
  </w:style>
  <w:style w:styleId="NoSpacing" w:type="paragraph">
    <w:name w:val="No Spacing"/>
    <w:uiPriority w:val="1"/>
    <w:qFormat/>
    <w:rPr>
      <w:rFonts w:ascii="Calibri" w:cs="Calibri" w:eastAsia="宋体" w:hAnsi="Cambria"/>
      <w:sz w:val="22"/>
      <w:szCs w:val="22"/>
      <w:lang w:bidi="ar-SA" w:eastAsia="en-US" w:val="en-US"/>
    </w:rPr>
  </w:style>
  <w:style w:customStyle="1" w:styleId="TitleChar" w:type="character">
    <w:name w:val="Title Char"/>
    <w:basedOn w:val="DefaultParagraphFont"/>
    <w:uiPriority w:val="10"/>
    <w:qFormat/>
    <w:rPr>
      <w:sz w:val="48"/>
      <w:szCs w:val="48"/>
    </w:rPr>
  </w:style>
  <w:style w:customStyle="1" w:styleId="a" w:type="character">
    <w:name w:val="副标题 字符"/>
    <w:basedOn w:val="DefaultParagraphFont"/>
    <w:link w:val="Subtitle"/>
    <w:uiPriority w:val="11"/>
    <w:qFormat/>
    <w:rPr>
      <w:sz w:val="24"/>
      <w:szCs w:val="24"/>
    </w:rPr>
  </w:style>
  <w:style w:styleId="Quote" w:type="paragraph">
    <w:name w:val="Quote"/>
    <w:basedOn w:val="Normal"/>
    <w:next w:val="Normal"/>
    <w:link w:val="a0"/>
    <w:uiPriority w:val="29"/>
    <w:qFormat/>
    <w:pPr>
      <w:ind w:left="720" w:right="720"/>
    </w:pPr>
    <w:rPr>
      <w:i/>
    </w:rPr>
  </w:style>
  <w:style w:customStyle="1" w:styleId="a0" w:type="character">
    <w:name w:val="引用 字符"/>
    <w:link w:val="Quote"/>
    <w:uiPriority w:val="29"/>
    <w:qFormat/>
    <w:rPr>
      <w:i/>
    </w:rPr>
  </w:style>
  <w:style w:styleId="IntenseQuote" w:type="paragraph">
    <w:name w:val="Intense Quote"/>
    <w:basedOn w:val="Normal"/>
    <w:next w:val="Normal"/>
    <w:link w:val="a1"/>
    <w:uiPriority w:val="30"/>
    <w:qFormat/>
    <w:pPr>
      <w:pBdr>
        <w:top w:color="FFFFFF" w:space="5" w:sz="4" w:val="single"/>
        <w:left w:color="FFFFFF" w:space="10" w:sz="4" w:val="single"/>
        <w:bottom w:color="FFFFFF" w:space="5" w:sz="4" w:val="single"/>
        <w:right w:color="FFFFFF" w:space="10" w:sz="4" w:val="single"/>
      </w:pBdr>
      <w:shd w:color="F2F2F2" w:fill="F2F2F2" w:val="clear"/>
      <w:ind w:left="720" w:right="720"/>
    </w:pPr>
    <w:rPr>
      <w:i/>
    </w:rPr>
  </w:style>
  <w:style w:customStyle="1" w:styleId="a1" w:type="character">
    <w:name w:val="明显引用 字符"/>
    <w:link w:val="IntenseQuote"/>
    <w:uiPriority w:val="30"/>
    <w:qFormat/>
    <w:rPr>
      <w:i/>
    </w:rPr>
  </w:style>
  <w:style w:customStyle="1" w:styleId="HeaderChar" w:type="character">
    <w:name w:val="Header Char"/>
    <w:basedOn w:val="DefaultParagraphFont"/>
    <w:uiPriority w:val="99"/>
    <w:qFormat/>
  </w:style>
  <w:style w:customStyle="1" w:styleId="FooterChar" w:type="character">
    <w:name w:val="Footer Char"/>
    <w:basedOn w:val="DefaultParagraphFont"/>
    <w:uiPriority w:val="99"/>
    <w:qFormat/>
  </w:style>
  <w:style w:customStyle="1" w:styleId="CaptionChar" w:type="character">
    <w:name w:val="Caption Char"/>
    <w:uiPriority w:val="99"/>
    <w:qFormat/>
  </w:style>
  <w:style w:customStyle="1" w:styleId="TableGridLight" w:type="table">
    <w:name w:val="Table Grid Light"/>
    <w:basedOn w:val="TableNormal"/>
    <w:uiPriority w:val="59"/>
    <w:qFormat/>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11" w:type="table">
    <w:name w:val="无格式表格 11"/>
    <w:basedOn w:val="TableNormal"/>
    <w:uiPriority w:val="59"/>
    <w:qFormat/>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color="FFFFFF" w:fill="F1F1F1" w:themeFill="text1" w:themeFillTint="0D" w:val="clear"/>
      </w:tcPr>
    </w:tblStylePr>
    <w:tblStylePr w:type="band2Vert">
      <w:pPr>
        <w:snapToGrid/>
      </w:pPr>
    </w:tblStylePr>
    <w:tblStylePr w:type="band1Horz">
      <w:pPr>
        <w:snapToGrid/>
      </w:pPr>
      <w:tblPr/>
      <w:tcPr>
        <w:shd w:color="FFFFFF" w:fill="F1F1F1" w:themeFill="text1" w:themeFillTint="0D"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21" w:type="table">
    <w:name w:val="无格式表格 21"/>
    <w:basedOn w:val="TableNormal"/>
    <w:uiPriority w:val="59"/>
    <w:qFormat/>
    <w:tblPr>
      <w:tblBorders>
        <w:top w:color="000000" w:space="0" w:sz="4" w:themeColor="text1" w:val="single"/>
        <w:left w:val="nil"/>
        <w:bottom w:color="000000" w:space="0" w:sz="4" w:themeColor="text1" w:val="single"/>
        <w:right w:val="nil"/>
      </w:tblBorders>
    </w:tblPr>
    <w:tblStylePr w:type="firstRow">
      <w:pPr>
        <w:snapToGrid/>
      </w:pPr>
      <w:rPr>
        <w:rFonts w:ascii="Arial" w:hAnsi="Arial"/>
        <w:b/>
        <w:color w:val="404040"/>
        <w:sz w:val="22"/>
      </w:rPr>
      <w:tblPr/>
      <w:tcPr>
        <w:tcBorders>
          <w:top w:color="000000" w:space="0" w:sz="4" w:themeColor="text1" w:val="single"/>
          <w:bottom w:color="000000" w:space="0" w:sz="4" w:themeColor="text1" w:val="single"/>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color="000000" w:space="0" w:sz="4" w:themeColor="text1" w:val="single"/>
          <w:right w:color="000000" w:space="0" w:sz="4" w:themeColor="text1" w:val="single"/>
        </w:tcBorders>
      </w:tcPr>
    </w:tblStylePr>
    <w:tblStylePr w:type="band2Vert">
      <w:pPr>
        <w:snapToGrid/>
      </w:pPr>
      <w:tblPr/>
      <w:tcPr>
        <w:tcBorders>
          <w:left w:color="000000" w:space="0" w:sz="4" w:themeColor="text1" w:val="single"/>
          <w:right w:color="000000" w:space="0" w:sz="4" w:themeColor="text1" w:val="single"/>
        </w:tcBorders>
      </w:tcPr>
    </w:tblStylePr>
    <w:tblStylePr w:type="band1Horz">
      <w:pPr>
        <w:snapToGrid/>
      </w:pPr>
      <w:tblPr/>
      <w:tcPr>
        <w:tcBorders>
          <w:top w:color="000000" w:space="0" w:sz="4" w:themeColor="text1" w:val="single"/>
          <w:bottom w:color="000000" w:space="0" w:sz="4" w:themeColor="text1"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31" w:type="table">
    <w:name w:val="无格式表格 31"/>
    <w:basedOn w:val="TableNormal"/>
    <w:uiPriority w:val="99"/>
    <w:qFormat/>
    <w:tblPr/>
    <w:tblStylePr w:type="firstRow">
      <w:pPr>
        <w:snapToGrid/>
      </w:pPr>
      <w:rPr>
        <w:b/>
        <w:caps/>
        <w:color w:val="404040"/>
      </w:rPr>
      <w:tblPr/>
      <w:tcPr>
        <w:tcBorders>
          <w:top w:val="nil"/>
          <w:left w:val="nil"/>
          <w:bottom w:color="404040" w:space="0" w:sz="4" w:val="single"/>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color="404040" w:space="0" w:sz="4" w:val="single"/>
        </w:tcBorders>
      </w:tcPr>
    </w:tblStylePr>
    <w:tblStylePr w:type="lastCol">
      <w:pPr>
        <w:snapToGrid/>
      </w:pPr>
      <w:rPr>
        <w:b/>
        <w:caps/>
        <w:color w:val="404040"/>
      </w:rPr>
    </w:tblStylePr>
    <w:tblStylePr w:type="band1Vert">
      <w:pPr>
        <w:snapToGrid/>
      </w:pPr>
      <w:rPr>
        <w:rFonts w:ascii="Arial" w:hAnsi="Arial"/>
        <w:color w:val="404040"/>
        <w:sz w:val="22"/>
      </w:rPr>
      <w:tblPr/>
      <w:tcPr>
        <w:shd w:color="FFFFFF" w:fill="F1F1F1" w:themeFill="text1" w:themeFillTint="0D" w:val="clear"/>
      </w:tcPr>
    </w:tblStylePr>
    <w:tblStylePr w:type="band2Vert">
      <w:pPr>
        <w:snapToGrid/>
      </w:pPr>
    </w:tblStylePr>
    <w:tblStylePr w:type="band1Horz">
      <w:pPr>
        <w:snapToGrid/>
      </w:pPr>
      <w:rPr>
        <w:rFonts w:ascii="Arial" w:hAnsi="Arial"/>
        <w:color w:val="404040"/>
        <w:sz w:val="22"/>
      </w:rPr>
      <w:tblPr/>
      <w:tcPr>
        <w:shd w:color="FFFFFF" w:fill="F1F1F1" w:themeFill="text1" w:themeFillTint="0D"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41" w:type="table">
    <w:name w:val="无格式表格 41"/>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1F1F1" w:themeFill="text1" w:themeFillTint="0D" w:val="clear"/>
      </w:tcPr>
    </w:tblStylePr>
    <w:tblStylePr w:type="band2Vert">
      <w:pPr>
        <w:snapToGrid/>
      </w:pPr>
    </w:tblStylePr>
    <w:tblStylePr w:type="band1Horz">
      <w:pPr>
        <w:snapToGrid/>
      </w:pPr>
      <w:rPr>
        <w:rFonts w:ascii="Arial" w:hAnsi="Arial"/>
        <w:color w:val="404040"/>
        <w:sz w:val="22"/>
      </w:rPr>
      <w:tblPr/>
      <w:tcPr>
        <w:shd w:color="FFFFFF" w:fill="F1F1F1" w:themeFill="text1" w:themeFillTint="0D"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51" w:type="table">
    <w:name w:val="无格式表格 51"/>
    <w:basedOn w:val="TableNormal"/>
    <w:uiPriority w:val="99"/>
    <w:qFormat/>
    <w:tblPr/>
    <w:tblStylePr w:type="firstRow">
      <w:pPr>
        <w:snapToGrid/>
      </w:pPr>
      <w:rPr>
        <w:i/>
        <w:color w:val="404040"/>
      </w:rPr>
      <w:tblPr/>
      <w:tcPr>
        <w:tcBorders>
          <w:left w:val="nil"/>
          <w:bottom w:color="404040" w:space="0" w:sz="4" w:val="single"/>
          <w:right w:val="nil"/>
        </w:tcBorders>
        <w:shd w:color="FFFFFF" w:fill="FFFFFF" w:val="clear"/>
      </w:tcPr>
    </w:tblStylePr>
    <w:tblStylePr w:type="lastRow">
      <w:pPr>
        <w:snapToGrid/>
      </w:pPr>
      <w:rPr>
        <w:i/>
        <w:color w:val="404040"/>
      </w:rPr>
      <w:tblPr/>
      <w:tcPr>
        <w:tcBorders>
          <w:top w:color="404040" w:space="0" w:sz="4" w:val="single"/>
          <w:left w:val="nil"/>
          <w:right w:val="nil"/>
        </w:tcBorders>
        <w:shd w:color="FFFFFF" w:fill="FFFFFF" w:val="clear"/>
      </w:tcPr>
    </w:tblStylePr>
    <w:tblStylePr w:type="firstCol">
      <w:pPr>
        <w:snapToGrid/>
        <w:jc w:val="right"/>
      </w:pPr>
      <w:rPr>
        <w:i/>
        <w:color w:val="404040"/>
      </w:rPr>
      <w:tblPr/>
      <w:tcPr>
        <w:tcBorders>
          <w:right w:color="404040" w:space="0" w:sz="4" w:val="single"/>
        </w:tcBorders>
        <w:shd w:color="FFFFFF" w:fill="FFFFFF" w:val="clear"/>
      </w:tcPr>
    </w:tblStylePr>
    <w:tblStylePr w:type="lastCol">
      <w:pPr>
        <w:snapToGrid/>
      </w:pPr>
      <w:rPr>
        <w:i/>
        <w:color w:val="404040"/>
      </w:rPr>
      <w:tblPr/>
      <w:tcPr>
        <w:tcBorders>
          <w:left w:color="404040" w:space="0" w:sz="4" w:val="single"/>
        </w:tcBorders>
        <w:shd w:color="FFFFFF" w:fill="FFFFFF" w:val="clear"/>
      </w:tcPr>
    </w:tblStylePr>
    <w:tblStylePr w:type="band1Vert">
      <w:pPr>
        <w:snapToGrid/>
      </w:pPr>
      <w:rPr>
        <w:rFonts w:ascii="Arial" w:hAnsi="Arial"/>
        <w:color w:val="404040"/>
        <w:sz w:val="22"/>
      </w:rPr>
      <w:tblPr/>
      <w:tcPr>
        <w:shd w:color="FFFFFF" w:fill="F1F1F1" w:themeFill="text1" w:themeFillTint="0D" w:val="clear"/>
      </w:tcPr>
    </w:tblStylePr>
    <w:tblStylePr w:type="band2Vert">
      <w:pPr>
        <w:snapToGrid/>
      </w:pPr>
    </w:tblStylePr>
    <w:tblStylePr w:type="band1Horz">
      <w:pPr>
        <w:snapToGrid/>
      </w:pPr>
      <w:rPr>
        <w:rFonts w:ascii="Arial" w:hAnsi="Arial"/>
        <w:color w:val="404040"/>
        <w:sz w:val="22"/>
      </w:rPr>
      <w:tblPr/>
      <w:tcPr>
        <w:shd w:color="FFFFFF" w:fill="F1F1F1" w:themeFill="text1" w:themeFillTint="0D"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110" w:type="table">
    <w:name w:val="网格表 1 浅色1"/>
    <w:basedOn w:val="TableNormal"/>
    <w:uiPriority w:val="99"/>
    <w:qFormat/>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pPr>
        <w:snapToGrid/>
      </w:pPr>
      <w:rPr>
        <w:b/>
        <w:color w:val="404040"/>
      </w:rPr>
      <w:tblPr/>
      <w:tcPr>
        <w:tcBorders>
          <w:bottom w:color="696969" w:space="0" w:sz="12" w:themeColor="text1"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1" w:type="table">
    <w:name w:val="Grid Table 1 Light - Accent 1"/>
    <w:basedOn w:val="TableNormal"/>
    <w:uiPriority w:val="99"/>
    <w:qFormat/>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pPr>
        <w:snapToGrid/>
      </w:pPr>
      <w:rPr>
        <w:b/>
        <w:color w:val="404040"/>
      </w:rPr>
      <w:tblPr/>
      <w:tcPr>
        <w:tcBorders>
          <w:bottom w:color="98B5D8" w:space="0" w:sz="12" w:themeColor="accent1"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2" w:type="table">
    <w:name w:val="Grid Table 1 Light - Accent 2"/>
    <w:basedOn w:val="TableNormal"/>
    <w:uiPriority w:val="99"/>
    <w:qFormat/>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pPr>
        <w:snapToGrid/>
      </w:pPr>
      <w:rPr>
        <w:b/>
        <w:color w:val="404040"/>
      </w:rPr>
      <w:tblPr/>
      <w:tcPr>
        <w:tcBorders>
          <w:bottom w:color="DA9896" w:space="0" w:sz="12" w:themeColor="accent2"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3" w:type="table">
    <w:name w:val="Grid Table 1 Light - Accent 3"/>
    <w:basedOn w:val="TableNormal"/>
    <w:uiPriority w:val="99"/>
    <w:qFormat/>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pPr>
        <w:snapToGrid/>
      </w:pPr>
      <w:rPr>
        <w:b/>
        <w:color w:val="404040"/>
      </w:rPr>
      <w:tblPr/>
      <w:tcPr>
        <w:tcBorders>
          <w:bottom w:color="C4D79E" w:space="0" w:sz="12" w:themeColor="accent3"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4" w:type="table">
    <w:name w:val="Grid Table 1 Light - Accent 4"/>
    <w:basedOn w:val="TableNormal"/>
    <w:uiPriority w:val="99"/>
    <w:qFormat/>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pPr>
        <w:snapToGrid/>
      </w:pPr>
      <w:rPr>
        <w:b/>
        <w:color w:val="404040"/>
      </w:rPr>
      <w:tblPr/>
      <w:tcPr>
        <w:tcBorders>
          <w:bottom w:color="B4A4C8" w:space="0" w:sz="12" w:themeColor="accent4"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5" w:type="table">
    <w:name w:val="Grid Table 1 Light - Accent 5"/>
    <w:basedOn w:val="TableNormal"/>
    <w:uiPriority w:val="99"/>
    <w:qFormat/>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pPr>
        <w:snapToGrid/>
      </w:pPr>
      <w:rPr>
        <w:b/>
        <w:color w:val="404040"/>
      </w:rPr>
      <w:tblPr/>
      <w:tcPr>
        <w:tcBorders>
          <w:bottom w:color="95CEDD" w:space="0" w:sz="12" w:themeColor="accent5"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1Light-Accent6" w:type="table">
    <w:name w:val="Grid Table 1 Light - Accent 6"/>
    <w:basedOn w:val="TableNormal"/>
    <w:uiPriority w:val="99"/>
    <w:qFormat/>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pPr>
        <w:snapToGrid/>
      </w:pPr>
      <w:rPr>
        <w:b/>
        <w:color w:val="404040"/>
      </w:rPr>
      <w:tblPr/>
      <w:tcPr>
        <w:tcBorders>
          <w:bottom w:color="FAC192" w:space="0" w:sz="12" w:themeColor="accent6" w:themeTint="95" w:val="single"/>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210" w:type="table">
    <w:name w:val="网格表 21"/>
    <w:basedOn w:val="TableNormal"/>
    <w:uiPriority w:val="99"/>
    <w:qFormat/>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pPr>
        <w:snapToGrid/>
      </w:pPr>
      <w:rPr>
        <w:b/>
        <w:color w:val="404040"/>
      </w:rPr>
      <w:tblPr/>
      <w:tcPr>
        <w:tcBorders>
          <w:top w:val="nil"/>
          <w:left w:val="nil"/>
          <w:bottom w:color="696969" w:space="0" w:sz="12" w:themeColor="text1" w:themeTint="95" w:val="single"/>
          <w:right w:val="nil"/>
        </w:tcBorders>
        <w:shd w:color="FFFFFF" w:fill="FFFFFF" w:val="clear"/>
      </w:tcPr>
    </w:tblStylePr>
    <w:tblStylePr w:type="lastRow">
      <w:pPr>
        <w:snapToGrid/>
      </w:pPr>
      <w:rPr>
        <w:b/>
        <w:color w:val="404040"/>
      </w:rPr>
      <w:tblPr/>
      <w:tcPr>
        <w:tcBorders>
          <w:top w:color="696969" w:space="0" w:sz="4" w:themeColor="text1" w:themeTint="95"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CACACA" w:themeFill="text1" w:themeFillTint="34" w:val="clear"/>
      </w:tcPr>
    </w:tblStylePr>
    <w:tblStylePr w:type="band2Vert">
      <w:pPr>
        <w:snapToGrid/>
      </w:pPr>
    </w:tblStylePr>
    <w:tblStylePr w:type="band1Horz">
      <w:pPr>
        <w:snapToGrid/>
      </w:pPr>
      <w:rPr>
        <w:rFonts w:ascii="Arial" w:hAnsi="Arial"/>
        <w:color w:val="404040"/>
        <w:sz w:val="22"/>
      </w:rPr>
      <w:tblPr/>
      <w:tcPr>
        <w:shd w:color="FFFFFF" w:fill="CACACA" w:themeFill="text1"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1" w:type="table">
    <w:name w:val="Grid Table 2 - Accent 1"/>
    <w:basedOn w:val="TableNormal"/>
    <w:uiPriority w:val="99"/>
    <w:qFormat/>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pPr>
        <w:snapToGrid/>
      </w:pPr>
      <w:rPr>
        <w:b/>
        <w:color w:val="404040"/>
      </w:rPr>
      <w:tblPr/>
      <w:tcPr>
        <w:tcBorders>
          <w:top w:val="nil"/>
          <w:left w:val="nil"/>
          <w:bottom w:color="5D8BC2" w:space="0" w:sz="12" w:themeColor="accent1" w:themeTint="EA" w:val="single"/>
          <w:right w:val="nil"/>
        </w:tcBorders>
        <w:shd w:color="FFFFFF" w:fill="FFFFFF" w:val="clear"/>
      </w:tcPr>
    </w:tblStylePr>
    <w:tblStylePr w:type="lastRow">
      <w:pPr>
        <w:snapToGrid/>
      </w:pPr>
      <w:rPr>
        <w:b/>
        <w:color w:val="404040"/>
      </w:rPr>
      <w:tblPr/>
      <w:tcPr>
        <w:tcBorders>
          <w:top w:color="5D8BC2" w:space="0" w:sz="4" w:themeColor="accent1" w:themeTint="EA"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BE5F1" w:themeFill="accent1" w:themeFillTint="34" w:val="clear"/>
      </w:tcPr>
    </w:tblStylePr>
    <w:tblStylePr w:type="band2Vert">
      <w:pPr>
        <w:snapToGrid/>
      </w:pPr>
    </w:tblStylePr>
    <w:tblStylePr w:type="band1Horz">
      <w:pPr>
        <w:snapToGrid/>
      </w:pPr>
      <w:rPr>
        <w:rFonts w:ascii="Arial" w:hAnsi="Arial"/>
        <w:color w:val="404040"/>
        <w:sz w:val="22"/>
      </w:rPr>
      <w:tblPr/>
      <w:tcPr>
        <w:shd w:color="FFFFFF" w:fill="DBE5F1" w:themeFill="accent1"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2" w:type="table">
    <w:name w:val="Grid Table 2 - Accent 2"/>
    <w:basedOn w:val="TableNormal"/>
    <w:uiPriority w:val="99"/>
    <w:qFormat/>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pPr>
        <w:snapToGrid/>
      </w:pPr>
      <w:rPr>
        <w:b/>
        <w:color w:val="404040"/>
      </w:rPr>
      <w:tblPr/>
      <w:tcPr>
        <w:tcBorders>
          <w:top w:val="nil"/>
          <w:left w:val="nil"/>
          <w:bottom w:color="D99795" w:space="0" w:sz="12" w:themeColor="accent2" w:themeTint="97" w:val="single"/>
          <w:right w:val="nil"/>
        </w:tcBorders>
        <w:shd w:color="FFFFFF" w:fill="FFFFFF" w:val="clear"/>
      </w:tcPr>
    </w:tblStylePr>
    <w:tblStylePr w:type="lastRow">
      <w:pPr>
        <w:snapToGrid/>
      </w:pPr>
      <w:rPr>
        <w:b/>
        <w:color w:val="404040"/>
      </w:rPr>
      <w:tblPr/>
      <w:tcPr>
        <w:tcBorders>
          <w:top w:color="D99795" w:space="0" w:sz="4" w:themeColor="accent2" w:themeTint="97"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2DCDC" w:themeFill="accent2" w:themeFillTint="32" w:val="clear"/>
      </w:tcPr>
    </w:tblStylePr>
    <w:tblStylePr w:type="band2Vert">
      <w:pPr>
        <w:snapToGrid/>
      </w:pPr>
    </w:tblStylePr>
    <w:tblStylePr w:type="band1Horz">
      <w:pPr>
        <w:snapToGrid/>
      </w:pPr>
      <w:rPr>
        <w:rFonts w:ascii="Arial" w:hAnsi="Arial"/>
        <w:color w:val="404040"/>
        <w:sz w:val="22"/>
      </w:rPr>
      <w:tblPr/>
      <w:tcPr>
        <w:shd w:color="FFFFFF" w:fill="F2DCDC" w:themeFill="accent2" w:themeFillTint="32"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3" w:type="table">
    <w:name w:val="Grid Table 2 - Accent 3"/>
    <w:basedOn w:val="TableNormal"/>
    <w:uiPriority w:val="99"/>
    <w:qFormat/>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pPr>
        <w:snapToGrid/>
      </w:pPr>
      <w:rPr>
        <w:b/>
        <w:color w:val="404040"/>
      </w:rPr>
      <w:tblPr/>
      <w:tcPr>
        <w:tcBorders>
          <w:top w:val="nil"/>
          <w:left w:val="nil"/>
          <w:bottom w:color="9BBB59" w:space="0" w:sz="12" w:themeColor="accent3" w:themeTint="FE" w:val="single"/>
          <w:right w:val="nil"/>
        </w:tcBorders>
        <w:shd w:color="FFFFFF" w:fill="FFFFFF" w:val="clear"/>
      </w:tcPr>
    </w:tblStylePr>
    <w:tblStylePr w:type="lastRow">
      <w:pPr>
        <w:snapToGrid/>
      </w:pPr>
      <w:rPr>
        <w:b/>
        <w:color w:val="404040"/>
      </w:rPr>
      <w:tblPr/>
      <w:tcPr>
        <w:tcBorders>
          <w:top w:color="9BBB59" w:space="0" w:sz="4" w:themeColor="accent3" w:themeTint="FE"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AF1DD" w:themeFill="accent3" w:themeFillTint="34" w:val="clear"/>
      </w:tcPr>
    </w:tblStylePr>
    <w:tblStylePr w:type="band2Vert">
      <w:pPr>
        <w:snapToGrid/>
      </w:pPr>
    </w:tblStylePr>
    <w:tblStylePr w:type="band1Horz">
      <w:pPr>
        <w:snapToGrid/>
      </w:pPr>
      <w:rPr>
        <w:rFonts w:ascii="Arial" w:hAnsi="Arial"/>
        <w:color w:val="404040"/>
        <w:sz w:val="22"/>
      </w:rPr>
      <w:tblPr/>
      <w:tcPr>
        <w:shd w:color="FFFFFF" w:fill="EAF1DD" w:themeFill="accent3"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4" w:type="table">
    <w:name w:val="Grid Table 2 - Accent 4"/>
    <w:basedOn w:val="TableNormal"/>
    <w:uiPriority w:val="99"/>
    <w:qFormat/>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pPr>
        <w:snapToGrid/>
      </w:pPr>
      <w:rPr>
        <w:b/>
        <w:color w:val="404040"/>
      </w:rPr>
      <w:tblPr/>
      <w:tcPr>
        <w:tcBorders>
          <w:top w:val="nil"/>
          <w:left w:val="nil"/>
          <w:bottom w:color="B2A1C6" w:space="0" w:sz="12" w:themeColor="accent4" w:themeTint="9A" w:val="single"/>
          <w:right w:val="nil"/>
        </w:tcBorders>
        <w:shd w:color="FFFFFF" w:fill="FFFFFF" w:val="clear"/>
      </w:tcPr>
    </w:tblStylePr>
    <w:tblStylePr w:type="lastRow">
      <w:pPr>
        <w:snapToGrid/>
      </w:pPr>
      <w:rPr>
        <w:b/>
        <w:color w:val="404040"/>
      </w:rPr>
      <w:tblPr/>
      <w:tcPr>
        <w:tcBorders>
          <w:top w:color="B2A1C6" w:space="0" w:sz="4" w:themeColor="accent4" w:themeTint="9A"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5DFEC" w:themeFill="accent4" w:themeFillTint="34" w:val="clear"/>
      </w:tcPr>
    </w:tblStylePr>
    <w:tblStylePr w:type="band2Vert">
      <w:pPr>
        <w:snapToGrid/>
      </w:pPr>
    </w:tblStylePr>
    <w:tblStylePr w:type="band1Horz">
      <w:pPr>
        <w:snapToGrid/>
      </w:pPr>
      <w:rPr>
        <w:rFonts w:ascii="Arial" w:hAnsi="Arial"/>
        <w:color w:val="404040"/>
        <w:sz w:val="22"/>
      </w:rPr>
      <w:tblPr/>
      <w:tcPr>
        <w:shd w:color="FFFFFF" w:fill="E5DFEC" w:themeFill="accent4"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5" w:type="table">
    <w:name w:val="Grid Table 2 - Accent 5"/>
    <w:basedOn w:val="TableNormal"/>
    <w:uiPriority w:val="99"/>
    <w:qFormat/>
    <w:tblPr>
      <w:tblBorders>
        <w:bottom w:color="4BACC6" w:space="0" w:sz="4" w:themeColor="accent5" w:val="single"/>
        <w:insideH w:color="4BACC6" w:space="0" w:sz="4" w:themeColor="accent5" w:val="single"/>
        <w:insideV w:color="4BACC6" w:space="0" w:sz="4" w:themeColor="accent5" w:val="single"/>
      </w:tblBorders>
    </w:tblPr>
    <w:tblStylePr w:type="firstRow">
      <w:pPr>
        <w:snapToGrid/>
      </w:pPr>
      <w:rPr>
        <w:b/>
        <w:color w:val="404040"/>
      </w:rPr>
      <w:tblPr/>
      <w:tcPr>
        <w:tcBorders>
          <w:top w:val="nil"/>
          <w:left w:val="nil"/>
          <w:bottom w:color="4BACC6" w:space="0" w:sz="12" w:themeColor="accent5" w:val="single"/>
          <w:right w:val="nil"/>
        </w:tcBorders>
        <w:shd w:color="FFFFFF" w:fill="FFFFFF" w:val="clear"/>
      </w:tcPr>
    </w:tblStylePr>
    <w:tblStylePr w:type="lastRow">
      <w:pPr>
        <w:snapToGrid/>
      </w:pPr>
      <w:rPr>
        <w:b/>
        <w:color w:val="404040"/>
      </w:rPr>
      <w:tblPr/>
      <w:tcPr>
        <w:tcBorders>
          <w:top w:color="4BACC6" w:space="0" w:sz="4" w:themeColor="accent5"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AEEF3" w:themeFill="accent5" w:themeFillTint="34" w:val="clear"/>
      </w:tcPr>
    </w:tblStylePr>
    <w:tblStylePr w:type="band2Vert">
      <w:pPr>
        <w:snapToGrid/>
      </w:pPr>
    </w:tblStylePr>
    <w:tblStylePr w:type="band1Horz">
      <w:pPr>
        <w:snapToGrid/>
      </w:pPr>
      <w:rPr>
        <w:rFonts w:ascii="Arial" w:hAnsi="Arial"/>
        <w:color w:val="404040"/>
        <w:sz w:val="22"/>
      </w:rPr>
      <w:tblPr/>
      <w:tcPr>
        <w:shd w:color="FFFFFF" w:fill="DAEEF3" w:themeFill="accent5"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2-Accent6" w:type="table">
    <w:name w:val="Grid Table 2 - Accent 6"/>
    <w:basedOn w:val="TableNormal"/>
    <w:uiPriority w:val="99"/>
    <w:qFormat/>
    <w:tblPr>
      <w:tblBorders>
        <w:bottom w:color="F79646" w:space="0" w:sz="4" w:themeColor="accent6" w:val="single"/>
        <w:insideH w:color="F79646" w:space="0" w:sz="4" w:themeColor="accent6" w:val="single"/>
        <w:insideV w:color="F79646" w:space="0" w:sz="4" w:themeColor="accent6" w:val="single"/>
      </w:tblBorders>
    </w:tblPr>
    <w:tblStylePr w:type="firstRow">
      <w:pPr>
        <w:snapToGrid/>
      </w:pPr>
      <w:rPr>
        <w:b/>
        <w:color w:val="404040"/>
      </w:rPr>
      <w:tblPr/>
      <w:tcPr>
        <w:tcBorders>
          <w:top w:val="nil"/>
          <w:left w:val="nil"/>
          <w:bottom w:color="F79646" w:space="0" w:sz="12" w:themeColor="accent6" w:val="single"/>
          <w:right w:val="nil"/>
        </w:tcBorders>
        <w:shd w:color="FFFFFF" w:fill="FFFFFF" w:val="clear"/>
      </w:tcPr>
    </w:tblStylePr>
    <w:tblStylePr w:type="lastRow">
      <w:pPr>
        <w:snapToGrid/>
      </w:pPr>
      <w:rPr>
        <w:b/>
        <w:color w:val="404040"/>
      </w:rPr>
      <w:tblPr/>
      <w:tcPr>
        <w:tcBorders>
          <w:top w:color="F79646" w:space="0" w:sz="4" w:themeColor="accent6" w:val="single"/>
          <w:left w:val="nil"/>
          <w:bottom w:val="nil"/>
          <w:right w:val="nil"/>
        </w:tcBorders>
        <w:shd w:color="FFFFFF" w:fill="FFFFFF" w:val="clear"/>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DE9D9" w:themeFill="accent6" w:themeFillTint="34" w:val="clear"/>
      </w:tcPr>
    </w:tblStylePr>
    <w:tblStylePr w:type="band2Vert">
      <w:pPr>
        <w:snapToGrid/>
      </w:pPr>
    </w:tblStylePr>
    <w:tblStylePr w:type="band1Horz">
      <w:pPr>
        <w:snapToGrid/>
      </w:pPr>
      <w:rPr>
        <w:rFonts w:ascii="Arial" w:hAnsi="Arial"/>
        <w:color w:val="404040"/>
        <w:sz w:val="22"/>
      </w:rPr>
      <w:tblPr/>
      <w:tcPr>
        <w:shd w:color="FFFFFF" w:fill="FDE9D9" w:themeFill="accent6"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310" w:type="table">
    <w:name w:val="网格表 31"/>
    <w:basedOn w:val="TableNormal"/>
    <w:uiPriority w:val="99"/>
    <w:qFormat/>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CACACA" w:themeFill="text1" w:themeFillTint="34" w:val="clear"/>
      </w:tcPr>
    </w:tblStylePr>
    <w:tblStylePr w:type="band2Vert">
      <w:pPr>
        <w:snapToGrid/>
      </w:pPr>
    </w:tblStylePr>
    <w:tblStylePr w:type="band1Horz">
      <w:pPr>
        <w:snapToGrid/>
      </w:pPr>
      <w:rPr>
        <w:rFonts w:ascii="Arial" w:hAnsi="Arial"/>
        <w:color w:val="404040"/>
        <w:sz w:val="22"/>
      </w:rPr>
      <w:tblPr/>
      <w:tcPr>
        <w:shd w:color="FFFFFF" w:fill="CACACA" w:themeFill="text1"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1" w:type="table">
    <w:name w:val="Grid Table 3 - Accent 1"/>
    <w:basedOn w:val="TableNormal"/>
    <w:uiPriority w:val="99"/>
    <w:qFormat/>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DBE5F1" w:themeFill="accent1" w:themeFillTint="34" w:val="clear"/>
      </w:tcPr>
    </w:tblStylePr>
    <w:tblStylePr w:type="band2Vert">
      <w:pPr>
        <w:snapToGrid/>
      </w:pPr>
    </w:tblStylePr>
    <w:tblStylePr w:type="band1Horz">
      <w:pPr>
        <w:snapToGrid/>
      </w:pPr>
      <w:rPr>
        <w:rFonts w:ascii="Arial" w:hAnsi="Arial"/>
        <w:color w:val="404040"/>
        <w:sz w:val="22"/>
      </w:rPr>
      <w:tblPr/>
      <w:tcPr>
        <w:shd w:color="FFFFFF" w:fill="DBE5F1" w:themeFill="accent1"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2" w:type="table">
    <w:name w:val="Grid Table 3 - Accent 2"/>
    <w:basedOn w:val="TableNormal"/>
    <w:uiPriority w:val="99"/>
    <w:qFormat/>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F2DCDC" w:themeFill="accent2" w:themeFillTint="32" w:val="clear"/>
      </w:tcPr>
    </w:tblStylePr>
    <w:tblStylePr w:type="band2Vert">
      <w:pPr>
        <w:snapToGrid/>
      </w:pPr>
    </w:tblStylePr>
    <w:tblStylePr w:type="band1Horz">
      <w:pPr>
        <w:snapToGrid/>
      </w:pPr>
      <w:rPr>
        <w:rFonts w:ascii="Arial" w:hAnsi="Arial"/>
        <w:color w:val="404040"/>
        <w:sz w:val="22"/>
      </w:rPr>
      <w:tblPr/>
      <w:tcPr>
        <w:shd w:color="FFFFFF" w:fill="F2DCDC" w:themeFill="accent2" w:themeFillTint="32"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3" w:type="table">
    <w:name w:val="Grid Table 3 - Accent 3"/>
    <w:basedOn w:val="TableNormal"/>
    <w:uiPriority w:val="99"/>
    <w:qFormat/>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EAF1DD" w:themeFill="accent3" w:themeFillTint="34" w:val="clear"/>
      </w:tcPr>
    </w:tblStylePr>
    <w:tblStylePr w:type="band2Vert">
      <w:pPr>
        <w:snapToGrid/>
      </w:pPr>
    </w:tblStylePr>
    <w:tblStylePr w:type="band1Horz">
      <w:pPr>
        <w:snapToGrid/>
      </w:pPr>
      <w:rPr>
        <w:rFonts w:ascii="Arial" w:hAnsi="Arial"/>
        <w:color w:val="404040"/>
        <w:sz w:val="22"/>
      </w:rPr>
      <w:tblPr/>
      <w:tcPr>
        <w:shd w:color="FFFFFF" w:fill="EAF1DD" w:themeFill="accent3"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4" w:type="table">
    <w:name w:val="Grid Table 3 - Accent 4"/>
    <w:basedOn w:val="TableNormal"/>
    <w:uiPriority w:val="99"/>
    <w:qFormat/>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E5DFEC" w:themeFill="accent4" w:themeFillTint="34" w:val="clear"/>
      </w:tcPr>
    </w:tblStylePr>
    <w:tblStylePr w:type="band2Vert">
      <w:pPr>
        <w:snapToGrid/>
      </w:pPr>
    </w:tblStylePr>
    <w:tblStylePr w:type="band1Horz">
      <w:pPr>
        <w:snapToGrid/>
      </w:pPr>
      <w:rPr>
        <w:rFonts w:ascii="Arial" w:hAnsi="Arial"/>
        <w:color w:val="404040"/>
        <w:sz w:val="22"/>
      </w:rPr>
      <w:tblPr/>
      <w:tcPr>
        <w:shd w:color="FFFFFF" w:fill="E5DFEC" w:themeFill="accent4"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5" w:type="table">
    <w:name w:val="Grid Table 3 - Accent 5"/>
    <w:basedOn w:val="TableNormal"/>
    <w:uiPriority w:val="99"/>
    <w:qFormat/>
    <w:tblPr>
      <w:tblBorders>
        <w:bottom w:color="4BACC6" w:space="0" w:sz="4" w:themeColor="accent5" w:val="single"/>
        <w:insideH w:color="4BACC6" w:space="0" w:sz="4" w:themeColor="accent5" w:val="single"/>
        <w:insideV w:color="4BACC6" w:space="0" w:sz="4" w:themeColor="accent5"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DAEEF3" w:themeFill="accent5" w:themeFillTint="34" w:val="clear"/>
      </w:tcPr>
    </w:tblStylePr>
    <w:tblStylePr w:type="band2Vert">
      <w:pPr>
        <w:snapToGrid/>
      </w:pPr>
    </w:tblStylePr>
    <w:tblStylePr w:type="band1Horz">
      <w:pPr>
        <w:snapToGrid/>
      </w:pPr>
      <w:rPr>
        <w:rFonts w:ascii="Arial" w:hAnsi="Arial"/>
        <w:color w:val="404040"/>
        <w:sz w:val="22"/>
      </w:rPr>
      <w:tblPr/>
      <w:tcPr>
        <w:shd w:color="FFFFFF" w:fill="DAEEF3" w:themeFill="accent5"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3-Accent6" w:type="table">
    <w:name w:val="Grid Table 3 - Accent 6"/>
    <w:basedOn w:val="TableNormal"/>
    <w:uiPriority w:val="99"/>
    <w:qFormat/>
    <w:tblPr>
      <w:tblBorders>
        <w:bottom w:color="F79646" w:space="0" w:sz="4" w:themeColor="accent6" w:val="single"/>
        <w:insideH w:color="F79646" w:space="0" w:sz="4" w:themeColor="accent6" w:val="single"/>
        <w:insideV w:color="F79646" w:space="0" w:sz="4" w:themeColor="accent6" w:val="single"/>
      </w:tblBorders>
    </w:tblPr>
    <w:tblStylePr w:type="firstRow">
      <w:pPr>
        <w:snapToGrid/>
      </w:pPr>
      <w:rPr>
        <w:b/>
        <w:color w:val="404040"/>
      </w:rPr>
      <w:tblPr/>
      <w:tcPr>
        <w:tcBorders>
          <w:top w:val="nil"/>
          <w:left w:val="nil"/>
          <w:bottom w:val="nil"/>
          <w:right w:val="nil"/>
        </w:tcBorders>
        <w:shd w:color="FFFFFF" w:fill="FFFFFF" w:val="clear"/>
      </w:tcPr>
    </w:tblStylePr>
    <w:tblStylePr w:type="lastRow">
      <w:pPr>
        <w:snapToGrid/>
      </w:pPr>
      <w:rPr>
        <w:b/>
        <w:color w:val="404040"/>
      </w:rPr>
      <w:tblPr/>
      <w:tcPr>
        <w:tcBorders>
          <w:top w:val="nil"/>
          <w:left w:val="nil"/>
          <w:bottom w:val="nil"/>
          <w:right w:val="nil"/>
        </w:tcBorders>
        <w:shd w:color="FFFFFF" w:fill="FFFFFF" w:val="clear"/>
      </w:tcPr>
    </w:tblStylePr>
    <w:tblStylePr w:type="firstCol">
      <w:pPr>
        <w:snapToGrid/>
        <w:jc w:val="right"/>
      </w:pPr>
      <w:rPr>
        <w:i/>
        <w:color w:val="404040"/>
      </w:rPr>
      <w:tblPr/>
      <w:tcPr>
        <w:tcBorders>
          <w:top w:val="nil"/>
          <w:left w:val="nil"/>
          <w:bottom w:val="nil"/>
          <w:right w:val="nil"/>
        </w:tcBorders>
        <w:shd w:color="FFFFFF" w:fill="FFFFFF" w:val="clear"/>
      </w:tcPr>
    </w:tblStylePr>
    <w:tblStylePr w:type="lastCol">
      <w:pPr>
        <w:snapToGrid/>
      </w:pPr>
      <w:rPr>
        <w:i/>
        <w:color w:val="404040"/>
      </w:rPr>
      <w:tblPr/>
      <w:tcPr>
        <w:tcBorders>
          <w:top w:val="nil"/>
          <w:left w:val="nil"/>
          <w:bottom w:val="nil"/>
          <w:right w:val="nil"/>
        </w:tcBorders>
        <w:shd w:color="FFFFFF" w:fill="FFFFFF" w:val="clear"/>
      </w:tcPr>
    </w:tblStylePr>
    <w:tblStylePr w:type="band1Vert">
      <w:pPr>
        <w:snapToGrid/>
      </w:pPr>
      <w:rPr>
        <w:rFonts w:ascii="Arial" w:hAnsi="Arial"/>
        <w:color w:val="404040"/>
        <w:sz w:val="22"/>
      </w:rPr>
      <w:tblPr/>
      <w:tcPr>
        <w:shd w:color="FFFFFF" w:fill="FDE9D9" w:themeFill="accent6" w:themeFillTint="34" w:val="clear"/>
      </w:tcPr>
    </w:tblStylePr>
    <w:tblStylePr w:type="band2Vert">
      <w:pPr>
        <w:snapToGrid/>
      </w:pPr>
    </w:tblStylePr>
    <w:tblStylePr w:type="band1Horz">
      <w:pPr>
        <w:snapToGrid/>
      </w:pPr>
      <w:rPr>
        <w:rFonts w:ascii="Arial" w:hAnsi="Arial"/>
        <w:color w:val="404040"/>
        <w:sz w:val="22"/>
      </w:rPr>
      <w:tblPr/>
      <w:tcPr>
        <w:shd w:color="FFFFFF" w:fill="FDE9D9" w:themeFill="accent6"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410" w:type="table">
    <w:name w:val="网格表 41"/>
    <w:basedOn w:val="TableNormal"/>
    <w:uiPriority w:val="59"/>
    <w:qFormat/>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pPr>
        <w:snapToGrid/>
      </w:pPr>
      <w:rPr>
        <w:rFonts w:ascii="Arial" w:hAnsi="Arial"/>
        <w:b/>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pPr>
        <w:snapToGrid/>
      </w:pPr>
      <w:rPr>
        <w:b/>
        <w:color w:val="404040"/>
      </w:rPr>
      <w:tblPr/>
      <w:tcPr>
        <w:tcBorders>
          <w:top w:color="000000" w:space="0" w:sz="4" w:themeColor="text1"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CACACA" w:themeFill="text1" w:themeFillTint="34" w:val="clear"/>
      </w:tcPr>
    </w:tblStylePr>
    <w:tblStylePr w:type="band2Vert">
      <w:pPr>
        <w:snapToGrid/>
      </w:pPr>
    </w:tblStylePr>
    <w:tblStylePr w:type="band1Horz">
      <w:pPr>
        <w:snapToGrid/>
      </w:pPr>
      <w:rPr>
        <w:rFonts w:ascii="Arial" w:hAnsi="Arial"/>
        <w:color w:val="404040"/>
        <w:sz w:val="22"/>
      </w:rPr>
      <w:tblPr/>
      <w:tcPr>
        <w:shd w:color="FFFFFF" w:fill="CACACA" w:themeFill="text1"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1" w:type="table">
    <w:name w:val="Grid Table 4 - Accent 1"/>
    <w:basedOn w:val="TableNormal"/>
    <w:uiPriority w:val="59"/>
    <w:qFormat/>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pPr>
        <w:snapToGrid/>
      </w:pPr>
      <w:rPr>
        <w:rFonts w:ascii="Arial" w:hAnsi="Arial"/>
        <w:b/>
        <w:color w:val="FFFFFF"/>
        <w:sz w:val="22"/>
      </w:rPr>
      <w:tbl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FFFFFF" w:fill="5D8BC2" w:themeFill="accent1" w:themeFillTint="EA" w:val="clear"/>
      </w:tcPr>
    </w:tblStylePr>
    <w:tblStylePr w:type="lastRow">
      <w:pPr>
        <w:snapToGrid/>
      </w:pPr>
      <w:rPr>
        <w:b/>
        <w:color w:val="404040"/>
      </w:rPr>
      <w:tblPr/>
      <w:tcPr>
        <w:tcBorders>
          <w:top w:color="5D8BC2" w:space="0" w:sz="4" w:themeColor="accent1" w:themeTint="EA"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CE6F2" w:themeFill="accent1" w:themeFillTint="32" w:val="clear"/>
      </w:tcPr>
    </w:tblStylePr>
    <w:tblStylePr w:type="band2Vert">
      <w:pPr>
        <w:snapToGrid/>
      </w:pPr>
    </w:tblStylePr>
    <w:tblStylePr w:type="band1Horz">
      <w:pPr>
        <w:snapToGrid/>
      </w:pPr>
      <w:rPr>
        <w:rFonts w:ascii="Arial" w:hAnsi="Arial"/>
        <w:color w:val="404040"/>
        <w:sz w:val="22"/>
      </w:rPr>
      <w:tblPr/>
      <w:tcPr>
        <w:shd w:color="FFFFFF" w:fill="DCE6F2" w:themeFill="accent1" w:themeFillTint="32"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2" w:type="table">
    <w:name w:val="Grid Table 4 - Accent 2"/>
    <w:basedOn w:val="TableNormal"/>
    <w:uiPriority w:val="59"/>
    <w:qFormat/>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pPr>
        <w:snapToGrid/>
      </w:pPr>
      <w:rPr>
        <w:rFonts w:ascii="Arial" w:hAnsi="Arial"/>
        <w:b/>
        <w:color w:val="FFFFFF"/>
        <w:sz w:val="22"/>
      </w:rPr>
      <w:tbl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FFFFFF" w:fill="D99795" w:themeFill="accent2" w:themeFillTint="97" w:val="clear"/>
      </w:tcPr>
    </w:tblStylePr>
    <w:tblStylePr w:type="lastRow">
      <w:pPr>
        <w:snapToGrid/>
      </w:pPr>
      <w:rPr>
        <w:b/>
        <w:color w:val="404040"/>
      </w:rPr>
      <w:tblPr/>
      <w:tcPr>
        <w:tcBorders>
          <w:top w:color="D99795" w:space="0" w:sz="4" w:themeColor="accent2" w:themeTint="97"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2DCDC" w:themeFill="accent2" w:themeFillTint="32" w:val="clear"/>
      </w:tcPr>
    </w:tblStylePr>
    <w:tblStylePr w:type="band2Vert">
      <w:pPr>
        <w:snapToGrid/>
      </w:pPr>
    </w:tblStylePr>
    <w:tblStylePr w:type="band1Horz">
      <w:pPr>
        <w:snapToGrid/>
      </w:pPr>
      <w:rPr>
        <w:rFonts w:ascii="Arial" w:hAnsi="Arial"/>
        <w:color w:val="404040"/>
        <w:sz w:val="22"/>
      </w:rPr>
      <w:tblPr/>
      <w:tcPr>
        <w:shd w:color="FFFFFF" w:fill="F2DCDC" w:themeFill="accent2" w:themeFillTint="32"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3" w:type="table">
    <w:name w:val="Grid Table 4 - Accent 3"/>
    <w:basedOn w:val="TableNormal"/>
    <w:uiPriority w:val="59"/>
    <w:qFormat/>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pPr>
        <w:snapToGrid/>
      </w:pPr>
      <w:rPr>
        <w:rFonts w:ascii="Arial" w:hAnsi="Arial"/>
        <w:b/>
        <w:color w:val="FFFFFF"/>
        <w:sz w:val="22"/>
      </w:rPr>
      <w:tbl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FFFFFF" w:fill="9BBB59" w:themeFill="accent3" w:themeFillTint="FE" w:val="clear"/>
      </w:tcPr>
    </w:tblStylePr>
    <w:tblStylePr w:type="lastRow">
      <w:pPr>
        <w:snapToGrid/>
      </w:pPr>
      <w:rPr>
        <w:b/>
        <w:color w:val="404040"/>
      </w:rPr>
      <w:tblPr/>
      <w:tcPr>
        <w:tcBorders>
          <w:top w:color="9BBB59" w:space="0" w:sz="4" w:themeColor="accent3" w:themeTint="FE"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AF1DD" w:themeFill="accent3" w:themeFillTint="34" w:val="clear"/>
      </w:tcPr>
    </w:tblStylePr>
    <w:tblStylePr w:type="band2Vert">
      <w:pPr>
        <w:snapToGrid/>
      </w:pPr>
    </w:tblStylePr>
    <w:tblStylePr w:type="band1Horz">
      <w:pPr>
        <w:snapToGrid/>
      </w:pPr>
      <w:rPr>
        <w:rFonts w:ascii="Arial" w:hAnsi="Arial"/>
        <w:color w:val="404040"/>
        <w:sz w:val="22"/>
      </w:rPr>
      <w:tblPr/>
      <w:tcPr>
        <w:shd w:color="FFFFFF" w:fill="EAF1DD" w:themeFill="accent3"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4" w:type="table">
    <w:name w:val="Grid Table 4 - Accent 4"/>
    <w:basedOn w:val="TableNormal"/>
    <w:uiPriority w:val="59"/>
    <w:qFormat/>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pPr>
        <w:snapToGrid/>
      </w:pPr>
      <w:rPr>
        <w:rFonts w:ascii="Arial" w:hAnsi="Arial"/>
        <w:b/>
        <w:color w:val="FFFFFF"/>
        <w:sz w:val="22"/>
      </w:rPr>
      <w:tbl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FFFFFF" w:fill="B2A1C6" w:themeFill="accent4" w:themeFillTint="9A" w:val="clear"/>
      </w:tcPr>
    </w:tblStylePr>
    <w:tblStylePr w:type="lastRow">
      <w:pPr>
        <w:snapToGrid/>
      </w:pPr>
      <w:rPr>
        <w:b/>
        <w:color w:val="404040"/>
      </w:rPr>
      <w:tblPr/>
      <w:tcPr>
        <w:tcBorders>
          <w:top w:color="B2A1C6" w:space="0" w:sz="4" w:themeColor="accent4" w:themeTint="9A"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5DFEC" w:themeFill="accent4" w:themeFillTint="34" w:val="clear"/>
      </w:tcPr>
    </w:tblStylePr>
    <w:tblStylePr w:type="band2Vert">
      <w:pPr>
        <w:snapToGrid/>
      </w:pPr>
    </w:tblStylePr>
    <w:tblStylePr w:type="band1Horz">
      <w:pPr>
        <w:snapToGrid/>
      </w:pPr>
      <w:rPr>
        <w:rFonts w:ascii="Arial" w:hAnsi="Arial"/>
        <w:color w:val="404040"/>
        <w:sz w:val="22"/>
      </w:rPr>
      <w:tblPr/>
      <w:tcPr>
        <w:shd w:color="FFFFFF" w:fill="E5DFEC" w:themeFill="accent4"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5" w:type="table">
    <w:name w:val="Grid Table 4 - Accent 5"/>
    <w:basedOn w:val="TableNormal"/>
    <w:uiPriority w:val="59"/>
    <w:qFormat/>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pPr>
        <w:snapToGrid/>
      </w:pPr>
      <w:rPr>
        <w:rFonts w:ascii="Arial" w:hAnsi="Arial"/>
        <w:b/>
        <w:color w:val="FFFFFF"/>
        <w:sz w:val="22"/>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FFFFFF" w:fill="4BACC6" w:themeFill="accent5" w:val="clear"/>
      </w:tcPr>
    </w:tblStylePr>
    <w:tblStylePr w:type="lastRow">
      <w:pPr>
        <w:snapToGrid/>
      </w:pPr>
      <w:rPr>
        <w:b/>
        <w:color w:val="404040"/>
      </w:rPr>
      <w:tblPr/>
      <w:tcPr>
        <w:tcBorders>
          <w:top w:color="4BACC6" w:space="0" w:sz="4" w:themeColor="accent5"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AEEF3" w:themeFill="accent5" w:themeFillTint="34" w:val="clear"/>
      </w:tcPr>
    </w:tblStylePr>
    <w:tblStylePr w:type="band2Vert">
      <w:pPr>
        <w:snapToGrid/>
      </w:pPr>
    </w:tblStylePr>
    <w:tblStylePr w:type="band1Horz">
      <w:pPr>
        <w:snapToGrid/>
      </w:pPr>
      <w:rPr>
        <w:rFonts w:ascii="Arial" w:hAnsi="Arial"/>
        <w:color w:val="404040"/>
        <w:sz w:val="22"/>
      </w:rPr>
      <w:tblPr/>
      <w:tcPr>
        <w:shd w:color="FFFFFF" w:fill="DAEEF3" w:themeFill="accent5"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4-Accent6" w:type="table">
    <w:name w:val="Grid Table 4 - Accent 6"/>
    <w:basedOn w:val="TableNormal"/>
    <w:uiPriority w:val="59"/>
    <w:qFormat/>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pPr>
        <w:snapToGrid/>
      </w:pPr>
      <w:rPr>
        <w:rFonts w:ascii="Arial" w:hAnsi="Arial"/>
        <w:b/>
        <w:color w:val="FFFFFF"/>
        <w:sz w:val="22"/>
      </w:rPr>
      <w:tbl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FFFFF" w:fill="F79646" w:themeFill="accent6" w:val="clear"/>
      </w:tcPr>
    </w:tblStylePr>
    <w:tblStylePr w:type="lastRow">
      <w:pPr>
        <w:snapToGrid/>
      </w:pPr>
      <w:rPr>
        <w:b/>
        <w:color w:val="404040"/>
      </w:rPr>
      <w:tblPr/>
      <w:tcPr>
        <w:tcBorders>
          <w:top w:color="F79646" w:space="0" w:sz="4" w:themeColor="accent6" w:val="singl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DE9D9" w:themeFill="accent6" w:themeFillTint="34" w:val="clear"/>
      </w:tcPr>
    </w:tblStylePr>
    <w:tblStylePr w:type="band2Vert">
      <w:pPr>
        <w:snapToGrid/>
      </w:pPr>
    </w:tblStylePr>
    <w:tblStylePr w:type="band1Horz">
      <w:pPr>
        <w:snapToGrid/>
      </w:pPr>
      <w:rPr>
        <w:rFonts w:ascii="Arial" w:hAnsi="Arial"/>
        <w:color w:val="404040"/>
        <w:sz w:val="22"/>
      </w:rPr>
      <w:tblPr/>
      <w:tcPr>
        <w:shd w:color="FFFFFF" w:fill="FDE9D9" w:themeFill="accent6" w:themeFillTint="34"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510" w:type="table">
    <w:name w:val="网格表 5 深色1"/>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000000" w:themeFill="text1" w:val="clear"/>
      </w:tcPr>
    </w:tblStylePr>
    <w:tblStylePr w:type="lastRow">
      <w:pPr>
        <w:snapToGrid/>
      </w:pPr>
      <w:rPr>
        <w:rFonts w:ascii="Arial" w:hAnsi="Arial"/>
        <w:b/>
        <w:color w:val="FFFFFF"/>
        <w:sz w:val="22"/>
      </w:rPr>
      <w:tblPr/>
      <w:tcPr>
        <w:tcBorders>
          <w:top w:color="FFFFFF" w:space="0" w:sz="4" w:themeColor="light1" w:val="single"/>
        </w:tcBorders>
        <w:shd w:color="FFFFFF" w:fill="000000" w:themeFill="text1" w:val="clear"/>
      </w:tcPr>
    </w:tblStylePr>
    <w:tblStylePr w:type="firstCol">
      <w:pPr>
        <w:snapToGrid/>
      </w:pPr>
      <w:rPr>
        <w:rFonts w:ascii="Arial" w:hAnsi="Arial"/>
        <w:b/>
        <w:color w:val="FFFFFF"/>
        <w:sz w:val="22"/>
      </w:rPr>
      <w:tblPr/>
      <w:tcPr>
        <w:shd w:color="FFFFFF" w:fill="000000" w:themeFill="text1" w:val="clear"/>
      </w:tcPr>
    </w:tblStylePr>
    <w:tblStylePr w:type="lastCol">
      <w:pPr>
        <w:snapToGrid/>
      </w:pPr>
      <w:rPr>
        <w:rFonts w:ascii="Arial" w:hAnsi="Arial"/>
        <w:b/>
        <w:color w:val="FFFFFF"/>
        <w:sz w:val="22"/>
      </w:rPr>
      <w:tblPr/>
      <w:tcPr>
        <w:shd w:color="FFFFFF" w:fill="000000" w:themeFill="text1" w:val="clear"/>
      </w:tcPr>
    </w:tblStylePr>
    <w:tblStylePr w:type="band1Vert">
      <w:pPr>
        <w:snapToGrid/>
      </w:pPr>
      <w:tblPr/>
      <w:tcPr>
        <w:shd w:color="FFFFFF" w:fill="898989" w:themeFill="text1" w:themeFillTint="75" w:val="clear"/>
      </w:tcPr>
    </w:tblStylePr>
    <w:tblStylePr w:type="band2Vert">
      <w:pPr>
        <w:snapToGrid/>
      </w:pPr>
    </w:tblStylePr>
    <w:tblStylePr w:type="band1Horz">
      <w:pPr>
        <w:snapToGrid/>
      </w:pPr>
      <w:tblPr/>
      <w:tcPr>
        <w:shd w:color="FFFFFF" w:fill="898989" w:themeFill="text1"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1" w:type="table">
    <w:name w:val="Grid Table 5 Dark- Accent 1"/>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4F81BD" w:themeFill="accent1" w:val="clear"/>
      </w:tcPr>
    </w:tblStylePr>
    <w:tblStylePr w:type="lastRow">
      <w:pPr>
        <w:snapToGrid/>
      </w:pPr>
      <w:rPr>
        <w:rFonts w:ascii="Arial" w:hAnsi="Arial"/>
        <w:b/>
        <w:color w:val="FFFFFF"/>
        <w:sz w:val="22"/>
      </w:rPr>
      <w:tblPr/>
      <w:tcPr>
        <w:tcBorders>
          <w:top w:color="FFFFFF" w:space="0" w:sz="4" w:themeColor="light1" w:val="single"/>
        </w:tcBorders>
        <w:shd w:color="FFFFFF" w:fill="4F81BD" w:themeFill="accent1" w:val="clear"/>
      </w:tcPr>
    </w:tblStylePr>
    <w:tblStylePr w:type="firstCol">
      <w:pPr>
        <w:snapToGrid/>
      </w:pPr>
      <w:rPr>
        <w:rFonts w:ascii="Arial" w:hAnsi="Arial"/>
        <w:b/>
        <w:color w:val="FFFFFF"/>
        <w:sz w:val="22"/>
      </w:rPr>
      <w:tblPr/>
      <w:tcPr>
        <w:shd w:color="FFFFFF" w:fill="4F81BD" w:themeFill="accent1" w:val="clear"/>
      </w:tcPr>
    </w:tblStylePr>
    <w:tblStylePr w:type="lastCol">
      <w:pPr>
        <w:snapToGrid/>
      </w:pPr>
      <w:rPr>
        <w:rFonts w:ascii="Arial" w:hAnsi="Arial"/>
        <w:b/>
        <w:color w:val="FFFFFF"/>
        <w:sz w:val="22"/>
      </w:rPr>
      <w:tblPr/>
      <w:tcPr>
        <w:shd w:color="FFFFFF" w:fill="4F81BD" w:themeFill="accent1" w:val="clear"/>
      </w:tcPr>
    </w:tblStylePr>
    <w:tblStylePr w:type="band1Vert">
      <w:pPr>
        <w:snapToGrid/>
      </w:pPr>
      <w:tblPr/>
      <w:tcPr>
        <w:shd w:color="FFFFFF" w:fill="AEC5E0" w:themeFill="accent1" w:themeFillTint="75" w:val="clear"/>
      </w:tcPr>
    </w:tblStylePr>
    <w:tblStylePr w:type="band2Vert">
      <w:pPr>
        <w:snapToGrid/>
      </w:pPr>
    </w:tblStylePr>
    <w:tblStylePr w:type="band1Horz">
      <w:pPr>
        <w:snapToGrid/>
      </w:pPr>
      <w:tblPr/>
      <w:tcPr>
        <w:shd w:color="FFFFFF" w:fill="AEC5E0" w:themeFill="accent1"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2" w:type="table">
    <w:name w:val="Grid Table 5 Dark - Accent 2"/>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C0504D" w:themeFill="accent2" w:val="clear"/>
      </w:tcPr>
    </w:tblStylePr>
    <w:tblStylePr w:type="lastRow">
      <w:pPr>
        <w:snapToGrid/>
      </w:pPr>
      <w:rPr>
        <w:rFonts w:ascii="Arial" w:hAnsi="Arial"/>
        <w:b/>
        <w:color w:val="FFFFFF"/>
        <w:sz w:val="22"/>
      </w:rPr>
      <w:tblPr/>
      <w:tcPr>
        <w:tcBorders>
          <w:top w:color="FFFFFF" w:space="0" w:sz="4" w:themeColor="light1" w:val="single"/>
        </w:tcBorders>
        <w:shd w:color="FFFFFF" w:fill="C0504D" w:themeFill="accent2" w:val="clear"/>
      </w:tcPr>
    </w:tblStylePr>
    <w:tblStylePr w:type="firstCol">
      <w:pPr>
        <w:snapToGrid/>
      </w:pPr>
      <w:rPr>
        <w:rFonts w:ascii="Arial" w:hAnsi="Arial"/>
        <w:b/>
        <w:color w:val="FFFFFF"/>
        <w:sz w:val="22"/>
      </w:rPr>
      <w:tblPr/>
      <w:tcPr>
        <w:shd w:color="FFFFFF" w:fill="C0504D" w:themeFill="accent2" w:val="clear"/>
      </w:tcPr>
    </w:tblStylePr>
    <w:tblStylePr w:type="lastCol">
      <w:pPr>
        <w:snapToGrid/>
      </w:pPr>
      <w:rPr>
        <w:rFonts w:ascii="Arial" w:hAnsi="Arial"/>
        <w:b/>
        <w:color w:val="FFFFFF"/>
        <w:sz w:val="22"/>
      </w:rPr>
      <w:tblPr/>
      <w:tcPr>
        <w:shd w:color="FFFFFF" w:fill="C0504D" w:themeFill="accent2" w:val="clear"/>
      </w:tcPr>
    </w:tblStylePr>
    <w:tblStylePr w:type="band1Vert">
      <w:pPr>
        <w:snapToGrid/>
      </w:pPr>
      <w:tblPr/>
      <w:tcPr>
        <w:shd w:color="FFFFFF" w:fill="E2AEAD" w:themeFill="accent2" w:themeFillTint="75" w:val="clear"/>
      </w:tcPr>
    </w:tblStylePr>
    <w:tblStylePr w:type="band2Vert">
      <w:pPr>
        <w:snapToGrid/>
      </w:pPr>
    </w:tblStylePr>
    <w:tblStylePr w:type="band1Horz">
      <w:pPr>
        <w:snapToGrid/>
      </w:pPr>
      <w:tblPr/>
      <w:tcPr>
        <w:shd w:color="FFFFFF" w:fill="E2AEAD" w:themeFill="accent2"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3" w:type="table">
    <w:name w:val="Grid Table 5 Dark - Accent 3"/>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9BBB59" w:themeFill="accent3" w:val="clear"/>
      </w:tcPr>
    </w:tblStylePr>
    <w:tblStylePr w:type="lastRow">
      <w:pPr>
        <w:snapToGrid/>
      </w:pPr>
      <w:rPr>
        <w:rFonts w:ascii="Arial" w:hAnsi="Arial"/>
        <w:b/>
        <w:color w:val="FFFFFF"/>
        <w:sz w:val="22"/>
      </w:rPr>
      <w:tblPr/>
      <w:tcPr>
        <w:tcBorders>
          <w:top w:color="FFFFFF" w:space="0" w:sz="4" w:themeColor="light1" w:val="single"/>
        </w:tcBorders>
        <w:shd w:color="FFFFFF" w:fill="9BBB59" w:themeFill="accent3" w:val="clear"/>
      </w:tcPr>
    </w:tblStylePr>
    <w:tblStylePr w:type="firstCol">
      <w:pPr>
        <w:snapToGrid/>
      </w:pPr>
      <w:rPr>
        <w:rFonts w:ascii="Arial" w:hAnsi="Arial"/>
        <w:b/>
        <w:color w:val="FFFFFF"/>
        <w:sz w:val="22"/>
      </w:rPr>
      <w:tblPr/>
      <w:tcPr>
        <w:shd w:color="FFFFFF" w:fill="9BBB59" w:themeFill="accent3" w:val="clear"/>
      </w:tcPr>
    </w:tblStylePr>
    <w:tblStylePr w:type="lastCol">
      <w:pPr>
        <w:snapToGrid/>
      </w:pPr>
      <w:rPr>
        <w:rFonts w:ascii="Arial" w:hAnsi="Arial"/>
        <w:b/>
        <w:color w:val="FFFFFF"/>
        <w:sz w:val="22"/>
      </w:rPr>
      <w:tblPr/>
      <w:tcPr>
        <w:shd w:color="FFFFFF" w:fill="9BBB59" w:themeFill="accent3" w:val="clear"/>
      </w:tcPr>
    </w:tblStylePr>
    <w:tblStylePr w:type="band1Vert">
      <w:pPr>
        <w:snapToGrid/>
      </w:pPr>
      <w:tblPr/>
      <w:tcPr>
        <w:shd w:color="FFFFFF" w:fill="D1DFB2" w:themeFill="accent3" w:themeFillTint="75" w:val="clear"/>
      </w:tcPr>
    </w:tblStylePr>
    <w:tblStylePr w:type="band2Vert">
      <w:pPr>
        <w:snapToGrid/>
      </w:pPr>
    </w:tblStylePr>
    <w:tblStylePr w:type="band1Horz">
      <w:pPr>
        <w:snapToGrid/>
      </w:pPr>
      <w:tblPr/>
      <w:tcPr>
        <w:shd w:color="FFFFFF" w:fill="D1DFB2" w:themeFill="accent3"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4" w:type="table">
    <w:name w:val="Grid Table 5 Dark- Accent 4"/>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8064A2" w:themeFill="accent4" w:val="clear"/>
      </w:tcPr>
    </w:tblStylePr>
    <w:tblStylePr w:type="lastRow">
      <w:pPr>
        <w:snapToGrid/>
      </w:pPr>
      <w:rPr>
        <w:rFonts w:ascii="Arial" w:hAnsi="Arial"/>
        <w:b/>
        <w:color w:val="FFFFFF"/>
        <w:sz w:val="22"/>
      </w:rPr>
      <w:tblPr/>
      <w:tcPr>
        <w:tcBorders>
          <w:top w:color="FFFFFF" w:space="0" w:sz="4" w:themeColor="light1" w:val="single"/>
        </w:tcBorders>
        <w:shd w:color="FFFFFF" w:fill="8064A2" w:themeFill="accent4" w:val="clear"/>
      </w:tcPr>
    </w:tblStylePr>
    <w:tblStylePr w:type="firstCol">
      <w:pPr>
        <w:snapToGrid/>
      </w:pPr>
      <w:rPr>
        <w:rFonts w:ascii="Arial" w:hAnsi="Arial"/>
        <w:b/>
        <w:color w:val="FFFFFF"/>
        <w:sz w:val="22"/>
      </w:rPr>
      <w:tblPr/>
      <w:tcPr>
        <w:shd w:color="FFFFFF" w:fill="8064A2" w:themeFill="accent4" w:val="clear"/>
      </w:tcPr>
    </w:tblStylePr>
    <w:tblStylePr w:type="lastCol">
      <w:pPr>
        <w:snapToGrid/>
      </w:pPr>
      <w:rPr>
        <w:rFonts w:ascii="Arial" w:hAnsi="Arial"/>
        <w:b/>
        <w:color w:val="FFFFFF"/>
        <w:sz w:val="22"/>
      </w:rPr>
      <w:tblPr/>
      <w:tcPr>
        <w:shd w:color="FFFFFF" w:fill="8064A2" w:themeFill="accent4" w:val="clear"/>
      </w:tcPr>
    </w:tblStylePr>
    <w:tblStylePr w:type="band1Vert">
      <w:pPr>
        <w:snapToGrid/>
      </w:pPr>
      <w:tblPr/>
      <w:tcPr>
        <w:shd w:color="FFFFFF" w:fill="C4B7D4" w:themeFill="accent4" w:themeFillTint="75" w:val="clear"/>
      </w:tcPr>
    </w:tblStylePr>
    <w:tblStylePr w:type="band2Vert">
      <w:pPr>
        <w:snapToGrid/>
      </w:pPr>
    </w:tblStylePr>
    <w:tblStylePr w:type="band1Horz">
      <w:pPr>
        <w:snapToGrid/>
      </w:pPr>
      <w:tblPr/>
      <w:tcPr>
        <w:shd w:color="FFFFFF" w:fill="C4B7D4" w:themeFill="accent4"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5" w:type="table">
    <w:name w:val="Grid Table 5 Dark - Accent 5"/>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4BACC6" w:themeFill="accent5" w:val="clear"/>
      </w:tcPr>
    </w:tblStylePr>
    <w:tblStylePr w:type="lastRow">
      <w:pPr>
        <w:snapToGrid/>
      </w:pPr>
      <w:rPr>
        <w:rFonts w:ascii="Arial" w:hAnsi="Arial"/>
        <w:b/>
        <w:color w:val="FFFFFF"/>
        <w:sz w:val="22"/>
      </w:rPr>
      <w:tblPr/>
      <w:tcPr>
        <w:tcBorders>
          <w:top w:color="FFFFFF" w:space="0" w:sz="4" w:themeColor="light1" w:val="single"/>
        </w:tcBorders>
        <w:shd w:color="FFFFFF" w:fill="4BACC6" w:themeFill="accent5" w:val="clear"/>
      </w:tcPr>
    </w:tblStylePr>
    <w:tblStylePr w:type="firstCol">
      <w:pPr>
        <w:snapToGrid/>
      </w:pPr>
      <w:rPr>
        <w:rFonts w:ascii="Arial" w:hAnsi="Arial"/>
        <w:b/>
        <w:color w:val="FFFFFF"/>
        <w:sz w:val="22"/>
      </w:rPr>
      <w:tblPr/>
      <w:tcPr>
        <w:shd w:color="FFFFFF" w:fill="4BACC6" w:themeFill="accent5" w:val="clear"/>
      </w:tcPr>
    </w:tblStylePr>
    <w:tblStylePr w:type="lastCol">
      <w:pPr>
        <w:snapToGrid/>
      </w:pPr>
      <w:rPr>
        <w:rFonts w:ascii="Arial" w:hAnsi="Arial"/>
        <w:b/>
        <w:color w:val="FFFFFF"/>
        <w:sz w:val="22"/>
      </w:rPr>
      <w:tblPr/>
      <w:tcPr>
        <w:shd w:color="FFFFFF" w:fill="4BACC6" w:themeFill="accent5" w:val="clear"/>
      </w:tcPr>
    </w:tblStylePr>
    <w:tblStylePr w:type="band1Vert">
      <w:pPr>
        <w:snapToGrid/>
      </w:pPr>
      <w:tblPr/>
      <w:tcPr>
        <w:shd w:color="FFFFFF" w:fill="ACD8E4" w:themeFill="accent5" w:themeFillTint="75" w:val="clear"/>
      </w:tcPr>
    </w:tblStylePr>
    <w:tblStylePr w:type="band2Vert">
      <w:pPr>
        <w:snapToGrid/>
      </w:pPr>
    </w:tblStylePr>
    <w:tblStylePr w:type="band1Horz">
      <w:pPr>
        <w:snapToGrid/>
      </w:pPr>
      <w:tblPr/>
      <w:tcPr>
        <w:shd w:color="FFFFFF" w:fill="ACD8E4" w:themeFill="accent5"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5Dark-Accent6" w:type="table">
    <w:name w:val="Grid Table 5 Dark - Accent 6"/>
    <w:basedOn w:val="TableNormal"/>
    <w:uiPriority w:val="99"/>
    <w:qFormat/>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pPr>
        <w:snapToGrid/>
      </w:pPr>
      <w:rPr>
        <w:rFonts w:ascii="Arial" w:hAnsi="Arial"/>
        <w:b/>
        <w:color w:val="FFFFFF"/>
        <w:sz w:val="22"/>
      </w:rPr>
      <w:tblPr/>
      <w:tcPr>
        <w:shd w:color="FFFFFF" w:fill="F79646" w:themeFill="accent6" w:val="clear"/>
      </w:tcPr>
    </w:tblStylePr>
    <w:tblStylePr w:type="lastRow">
      <w:pPr>
        <w:snapToGrid/>
      </w:pPr>
      <w:rPr>
        <w:rFonts w:ascii="Arial" w:hAnsi="Arial"/>
        <w:b/>
        <w:color w:val="FFFFFF"/>
        <w:sz w:val="22"/>
      </w:rPr>
      <w:tblPr/>
      <w:tcPr>
        <w:tcBorders>
          <w:top w:color="FFFFFF" w:space="0" w:sz="4" w:themeColor="light1" w:val="single"/>
        </w:tcBorders>
        <w:shd w:color="FFFFFF" w:fill="F79646" w:themeFill="accent6" w:val="clear"/>
      </w:tcPr>
    </w:tblStylePr>
    <w:tblStylePr w:type="firstCol">
      <w:pPr>
        <w:snapToGrid/>
      </w:pPr>
      <w:rPr>
        <w:rFonts w:ascii="Arial" w:hAnsi="Arial"/>
        <w:b/>
        <w:color w:val="FFFFFF"/>
        <w:sz w:val="22"/>
      </w:rPr>
      <w:tblPr/>
      <w:tcPr>
        <w:shd w:color="FFFFFF" w:fill="F79646" w:themeFill="accent6" w:val="clear"/>
      </w:tcPr>
    </w:tblStylePr>
    <w:tblStylePr w:type="lastCol">
      <w:pPr>
        <w:snapToGrid/>
      </w:pPr>
      <w:rPr>
        <w:rFonts w:ascii="Arial" w:hAnsi="Arial"/>
        <w:b/>
        <w:color w:val="FFFFFF"/>
        <w:sz w:val="22"/>
      </w:rPr>
      <w:tblPr/>
      <w:tcPr>
        <w:shd w:color="FFFFFF" w:fill="F79646" w:themeFill="accent6" w:val="clear"/>
      </w:tcPr>
    </w:tblStylePr>
    <w:tblStylePr w:type="band1Vert">
      <w:pPr>
        <w:snapToGrid/>
      </w:pPr>
      <w:tblPr/>
      <w:tcPr>
        <w:shd w:color="FFFFFF" w:fill="FBCEAA" w:themeFill="accent6" w:themeFillTint="75" w:val="clear"/>
      </w:tcPr>
    </w:tblStylePr>
    <w:tblStylePr w:type="band2Vert">
      <w:pPr>
        <w:snapToGrid/>
      </w:pPr>
    </w:tblStylePr>
    <w:tblStylePr w:type="band1Horz">
      <w:pPr>
        <w:snapToGrid/>
      </w:pPr>
      <w:tblPr/>
      <w:tcPr>
        <w:shd w:color="FFFFFF" w:fill="FBCEAA" w:themeFill="accent6" w:themeFillTint="75"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61" w:type="table">
    <w:name w:val="网格表 6 彩色1"/>
    <w:basedOn w:val="TableNormal"/>
    <w:uiPriority w:val="99"/>
    <w:qFormat/>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pPr>
        <w:snapToGrid/>
      </w:pPr>
      <w:rPr>
        <w:b/>
        <w:color w:themeColor="text1" w:themeTint="80" w:val="808080"/>
        <w14:textFill>
          <w14:solidFill>
            <w14:schemeClr w14:val="tx1">
              <w14:lumMod w14:val="50000"/>
              <w14:lumOff w14:val="50000"/>
            </w14:schemeClr>
          </w14:solidFill>
        </w14:textFill>
      </w:rPr>
      <w:tblPr/>
      <w:tcPr>
        <w:tcBorders>
          <w:bottom w:color="7E7E7E" w:space="0" w:sz="12" w:themeColor="text1" w:themeTint="80" w:val="single"/>
        </w:tcBorders>
      </w:tcPr>
    </w:tblStylePr>
    <w:tblStylePr w:type="lastRow">
      <w:pPr>
        <w:snapToGrid/>
      </w:pPr>
      <w:rPr>
        <w:b/>
        <w:color w:themeColor="text1" w:themeTint="80" w:val="808080"/>
        <w14:textFill>
          <w14:solidFill>
            <w14:schemeClr w14:val="tx1">
              <w14:lumMod w14:val="50000"/>
              <w14:lumOff w14:val="50000"/>
            </w14:schemeClr>
          </w14:solidFill>
        </w14:textFill>
      </w:rPr>
    </w:tblStylePr>
    <w:tblStylePr w:type="firstCol">
      <w:pPr>
        <w:snapToGrid/>
      </w:pPr>
      <w:rPr>
        <w:b/>
        <w:color w:themeColor="text1" w:themeTint="80" w:val="808080"/>
        <w14:textFill>
          <w14:solidFill>
            <w14:schemeClr w14:val="tx1">
              <w14:lumMod w14:val="50000"/>
              <w14:lumOff w14:val="50000"/>
            </w14:schemeClr>
          </w14:solidFill>
        </w14:textFill>
      </w:rPr>
    </w:tblStylePr>
    <w:tblStylePr w:type="lastCol">
      <w:pPr>
        <w:snapToGrid/>
      </w:pPr>
      <w:rPr>
        <w:b/>
        <w:color w:themeColor="text1" w:themeTint="80" w:val="808080"/>
        <w14:textFill>
          <w14:solidFill>
            <w14:schemeClr w14:val="tx1">
              <w14:lumMod w14:val="50000"/>
              <w14:lumOff w14:val="50000"/>
            </w14:schemeClr>
          </w14:solidFill>
        </w14:textFill>
      </w:rPr>
    </w:tblStylePr>
    <w:tblStylePr w:type="band1Vert">
      <w:pPr>
        <w:snapToGrid/>
      </w:pPr>
      <w:tblPr/>
      <w:tcPr>
        <w:shd w:color="FFFFFF" w:fill="CACACA" w:themeFill="text1" w:themeFillTint="34" w:val="clear"/>
      </w:tcPr>
    </w:tblStylePr>
    <w:tblStylePr w:type="band2Vert">
      <w:pPr>
        <w:snapToGrid/>
      </w:pPr>
    </w:tblStylePr>
    <w:tblStylePr w:type="band1Horz">
      <w:pPr>
        <w:snapToGrid/>
      </w:pPr>
      <w:rPr>
        <w:rFonts w:ascii="Arial" w:hAnsi="Arial"/>
        <w:color w:themeColor="text1" w:themeTint="80" w:val="808080"/>
        <w:sz w:val="22"/>
        <w14:textFill>
          <w14:solidFill>
            <w14:schemeClr w14:val="tx1">
              <w14:lumMod w14:val="50000"/>
              <w14:lumOff w14:val="50000"/>
            </w14:schemeClr>
          </w14:solidFill>
        </w14:textFill>
      </w:rPr>
      <w:tblPr/>
      <w:tcPr>
        <w:shd w:color="FFFFFF" w:fill="CACACA" w:themeFill="text1" w:themeFillTint="34" w:val="clear"/>
      </w:tcPr>
    </w:tblStylePr>
    <w:tblStylePr w:type="band2Horz">
      <w:pPr>
        <w:snapToGrid/>
      </w:pPr>
      <w:rPr>
        <w:rFonts w:ascii="Arial" w:hAnsi="Arial"/>
        <w:color w:themeColor="text1" w:themeTint="80" w:val="8080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1" w:type="table">
    <w:name w:val="Grid Table 6 Colorful - Accent 1"/>
    <w:basedOn w:val="TableNormal"/>
    <w:uiPriority w:val="99"/>
    <w:qFormat/>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pPr>
        <w:snapToGrid/>
      </w:pPr>
      <w:rPr>
        <w:b/>
        <w:color w:themeColor="accent1" w:themeTint="80" w:val="A7C0DE"/>
        <w14:textFill>
          <w14:solidFill>
            <w14:schemeClr w14:val="accent1">
              <w14:lumMod w14:val="50000"/>
              <w14:lumOff w14:val="50000"/>
            </w14:schemeClr>
          </w14:solidFill>
        </w14:textFill>
      </w:rPr>
      <w:tblPr/>
      <w:tcPr>
        <w:tcBorders>
          <w:bottom w:color="A6BFDD" w:space="0" w:sz="12" w:themeColor="accent1" w:themeTint="80" w:val="single"/>
        </w:tcBorders>
      </w:tcPr>
    </w:tblStylePr>
    <w:tblStylePr w:type="lastRow">
      <w:pPr>
        <w:snapToGrid/>
      </w:pPr>
      <w:rPr>
        <w:b/>
        <w:color w:themeColor="accent1" w:themeTint="80" w:val="A7C0DE"/>
        <w14:textFill>
          <w14:solidFill>
            <w14:schemeClr w14:val="accent1">
              <w14:lumMod w14:val="50000"/>
              <w14:lumOff w14:val="50000"/>
            </w14:schemeClr>
          </w14:solidFill>
        </w14:textFill>
      </w:rPr>
    </w:tblStylePr>
    <w:tblStylePr w:type="firstCol">
      <w:pPr>
        <w:snapToGrid/>
      </w:pPr>
      <w:rPr>
        <w:b/>
        <w:color w:themeColor="accent1" w:themeTint="80" w:val="A7C0DE"/>
        <w14:textFill>
          <w14:solidFill>
            <w14:schemeClr w14:val="accent1">
              <w14:lumMod w14:val="50000"/>
              <w14:lumOff w14:val="50000"/>
            </w14:schemeClr>
          </w14:solidFill>
        </w14:textFill>
      </w:rPr>
    </w:tblStylePr>
    <w:tblStylePr w:type="lastCol">
      <w:pPr>
        <w:snapToGrid/>
      </w:pPr>
      <w:rPr>
        <w:b/>
        <w:color w:themeColor="accent1" w:themeTint="80" w:val="A7C0DE"/>
        <w14:textFill>
          <w14:solidFill>
            <w14:schemeClr w14:val="accent1">
              <w14:lumMod w14:val="50000"/>
              <w14:lumOff w14:val="50000"/>
            </w14:schemeClr>
          </w14:solidFill>
        </w14:textFill>
      </w:rPr>
    </w:tblStylePr>
    <w:tblStylePr w:type="band1Vert">
      <w:pPr>
        <w:snapToGrid/>
      </w:pPr>
      <w:tblPr/>
      <w:tcPr>
        <w:shd w:color="FFFFFF" w:fill="DBE5F1" w:themeFill="accent1" w:themeFillTint="34" w:val="clear"/>
      </w:tcPr>
    </w:tblStylePr>
    <w:tblStylePr w:type="band2Vert">
      <w:pPr>
        <w:snapToGrid/>
      </w:pPr>
    </w:tblStylePr>
    <w:tblStylePr w:type="band1Horz">
      <w:pPr>
        <w:snapToGrid/>
      </w:pPr>
      <w:rPr>
        <w:rFonts w:ascii="Arial" w:hAnsi="Arial"/>
        <w:color w:themeColor="accent1" w:themeTint="80" w:val="A7C0DE"/>
        <w:sz w:val="22"/>
        <w14:textFill>
          <w14:solidFill>
            <w14:schemeClr w14:val="accent1">
              <w14:lumMod w14:val="50000"/>
              <w14:lumOff w14:val="50000"/>
            </w14:schemeClr>
          </w14:solidFill>
        </w14:textFill>
      </w:rPr>
      <w:tblPr/>
      <w:tcPr>
        <w:shd w:color="FFFFFF" w:fill="DBE5F1" w:themeFill="accent1" w:themeFillTint="34" w:val="clear"/>
      </w:tcPr>
    </w:tblStylePr>
    <w:tblStylePr w:type="band2Horz">
      <w:pPr>
        <w:snapToGrid/>
      </w:pPr>
      <w:rPr>
        <w:rFonts w:ascii="Arial" w:hAnsi="Arial"/>
        <w:color w:themeColor="accent1" w:themeTint="80" w:val="A7C0DE"/>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2" w:type="table">
    <w:name w:val="Grid Table 6 Colorful - Accent 2"/>
    <w:basedOn w:val="TableNormal"/>
    <w:uiPriority w:val="99"/>
    <w:qFormat/>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pPr>
        <w:snapToGrid/>
      </w:pPr>
      <w:rPr>
        <w:b/>
        <w:color w:themeColor="accent2" w:themeTint="96" w:val="DA9896"/>
        <w14:textFill>
          <w14:solidFill>
            <w14:schemeClr w14:val="accent2">
              <w14:lumMod w14:val="59000"/>
              <w14:lumOff w14:val="41000"/>
            </w14:schemeClr>
          </w14:solidFill>
        </w14:textFill>
      </w:rPr>
      <w:tblPr/>
      <w:tcPr>
        <w:tcBorders>
          <w:bottom w:color="D99795" w:space="0" w:sz="12" w:themeColor="accent2" w:themeTint="97" w:val="single"/>
        </w:tcBorders>
      </w:tcPr>
    </w:tblStylePr>
    <w:tblStylePr w:type="lastRow">
      <w:pPr>
        <w:snapToGrid/>
      </w:pPr>
      <w:rPr>
        <w:b/>
        <w:color w:themeColor="accent2" w:themeTint="96" w:val="DA9896"/>
        <w14:textFill>
          <w14:solidFill>
            <w14:schemeClr w14:val="accent2">
              <w14:lumMod w14:val="59000"/>
              <w14:lumOff w14:val="41000"/>
            </w14:schemeClr>
          </w14:solidFill>
        </w14:textFill>
      </w:rPr>
    </w:tblStylePr>
    <w:tblStylePr w:type="firstCol">
      <w:pPr>
        <w:snapToGrid/>
      </w:pPr>
      <w:rPr>
        <w:b/>
        <w:color w:themeColor="accent2" w:themeTint="96" w:val="DA9896"/>
        <w14:textFill>
          <w14:solidFill>
            <w14:schemeClr w14:val="accent2">
              <w14:lumMod w14:val="59000"/>
              <w14:lumOff w14:val="41000"/>
            </w14:schemeClr>
          </w14:solidFill>
        </w14:textFill>
      </w:rPr>
    </w:tblStylePr>
    <w:tblStylePr w:type="lastCol">
      <w:pPr>
        <w:snapToGrid/>
      </w:pPr>
      <w:rPr>
        <w:b/>
        <w:color w:themeColor="accent2" w:themeTint="96" w:val="DA9896"/>
        <w14:textFill>
          <w14:solidFill>
            <w14:schemeClr w14:val="accent2">
              <w14:lumMod w14:val="59000"/>
              <w14:lumOff w14:val="41000"/>
            </w14:schemeClr>
          </w14:solidFill>
        </w14:textFill>
      </w:rPr>
    </w:tblStylePr>
    <w:tblStylePr w:type="band1Vert">
      <w:pPr>
        <w:snapToGrid/>
      </w:pPr>
      <w:tblPr/>
      <w:tcPr>
        <w:shd w:color="FFFFFF" w:fill="F2DCDC" w:themeFill="accent2" w:themeFillTint="32" w:val="clear"/>
      </w:tcPr>
    </w:tblStylePr>
    <w:tblStylePr w:type="band2Vert">
      <w:pPr>
        <w:snapToGrid/>
      </w:pPr>
    </w:tblStylePr>
    <w:tblStylePr w:type="band1Horz">
      <w:pPr>
        <w:snapToGrid/>
      </w:pPr>
      <w:rPr>
        <w:rFonts w:ascii="Arial" w:hAnsi="Arial"/>
        <w:color w:themeColor="accent2" w:themeTint="96" w:val="DA9896"/>
        <w:sz w:val="22"/>
        <w14:textFill>
          <w14:solidFill>
            <w14:schemeClr w14:val="accent2">
              <w14:lumMod w14:val="59000"/>
              <w14:lumOff w14:val="41000"/>
            </w14:schemeClr>
          </w14:solidFill>
        </w14:textFill>
      </w:rPr>
      <w:tblPr/>
      <w:tcPr>
        <w:shd w:color="FFFFFF" w:fill="F2DCDC" w:themeFill="accent2" w:themeFillTint="32" w:val="clear"/>
      </w:tcPr>
    </w:tblStylePr>
    <w:tblStylePr w:type="band2Horz">
      <w:pPr>
        <w:snapToGrid/>
      </w:pPr>
      <w:rPr>
        <w:rFonts w:ascii="Arial" w:hAnsi="Arial"/>
        <w:color w:themeColor="accent2" w:themeTint="96" w:val="DA98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3" w:type="table">
    <w:name w:val="Grid Table 6 Colorful - Accent 3"/>
    <w:basedOn w:val="TableNormal"/>
    <w:uiPriority w:val="99"/>
    <w:qFormat/>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pPr>
        <w:snapToGrid/>
      </w:pPr>
      <w:rPr>
        <w:b/>
        <w:color w:themeColor="accent3" w:val="9BBB59"/>
        <w14:textFill>
          <w14:solidFill>
            <w14:schemeClr w14:val="accent3"/>
          </w14:solidFill>
        </w14:textFill>
      </w:rPr>
      <w:tblPr/>
      <w:tcPr>
        <w:tcBorders>
          <w:bottom w:color="9BBB59" w:space="0" w:sz="12" w:themeColor="accent3" w:themeTint="FE" w:val="single"/>
        </w:tcBorders>
      </w:tcPr>
    </w:tblStylePr>
    <w:tblStylePr w:type="lastRow">
      <w:pPr>
        <w:snapToGrid/>
      </w:pPr>
      <w:rPr>
        <w:b/>
        <w:color w:themeColor="accent3" w:val="9BBB59"/>
        <w14:textFill>
          <w14:solidFill>
            <w14:schemeClr w14:val="accent3"/>
          </w14:solidFill>
        </w14:textFill>
      </w:rPr>
    </w:tblStylePr>
    <w:tblStylePr w:type="firstCol">
      <w:pPr>
        <w:snapToGrid/>
      </w:pPr>
      <w:rPr>
        <w:b/>
        <w:color w:themeColor="accent3" w:val="9BBB59"/>
        <w14:textFill>
          <w14:solidFill>
            <w14:schemeClr w14:val="accent3"/>
          </w14:solidFill>
        </w14:textFill>
      </w:rPr>
    </w:tblStylePr>
    <w:tblStylePr w:type="lastCol">
      <w:pPr>
        <w:snapToGrid/>
      </w:pPr>
      <w:rPr>
        <w:b/>
        <w:color w:themeColor="accent3" w:val="9BBB59"/>
        <w14:textFill>
          <w14:solidFill>
            <w14:schemeClr w14:val="accent3"/>
          </w14:solidFill>
        </w14:textFill>
      </w:rPr>
    </w:tblStylePr>
    <w:tblStylePr w:type="band1Vert">
      <w:pPr>
        <w:snapToGrid/>
      </w:pPr>
      <w:tblPr/>
      <w:tcPr>
        <w:shd w:color="FFFFFF" w:fill="EAF1DD" w:themeFill="accent3" w:themeFillTint="34" w:val="clear"/>
      </w:tcPr>
    </w:tblStylePr>
    <w:tblStylePr w:type="band2Vert">
      <w:pPr>
        <w:snapToGrid/>
      </w:pPr>
    </w:tblStylePr>
    <w:tblStylePr w:type="band1Horz">
      <w:pPr>
        <w:snapToGrid/>
      </w:pPr>
      <w:rPr>
        <w:rFonts w:ascii="Arial" w:hAnsi="Arial"/>
        <w:color w:themeColor="accent3" w:val="9BBB59"/>
        <w:sz w:val="22"/>
        <w14:textFill>
          <w14:solidFill>
            <w14:schemeClr w14:val="accent3"/>
          </w14:solidFill>
        </w14:textFill>
      </w:rPr>
      <w:tblPr/>
      <w:tcPr>
        <w:shd w:color="FFFFFF" w:fill="EAF1DD" w:themeFill="accent3" w:themeFillTint="34" w:val="clear"/>
      </w:tcPr>
    </w:tblStylePr>
    <w:tblStylePr w:type="band2Horz">
      <w:pPr>
        <w:snapToGrid/>
      </w:pPr>
      <w:rPr>
        <w:rFonts w:ascii="Arial" w:hAnsi="Arial"/>
        <w:color w:themeColor="accent3" w:val="9BBB59"/>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4" w:type="table">
    <w:name w:val="Grid Table 6 Colorful - Accent 4"/>
    <w:basedOn w:val="TableNormal"/>
    <w:uiPriority w:val="99"/>
    <w:qFormat/>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pPr>
        <w:snapToGrid/>
      </w:pPr>
      <w:rPr>
        <w:b/>
        <w:color w:themeColor="accent4" w:themeTint="99" w:val="B3A2C7"/>
        <w14:textFill>
          <w14:solidFill>
            <w14:schemeClr w14:val="accent4">
              <w14:lumMod w14:val="60000"/>
              <w14:lumOff w14:val="40000"/>
            </w14:schemeClr>
          </w14:solidFill>
        </w14:textFill>
      </w:rPr>
      <w:tblPr/>
      <w:tcPr>
        <w:tcBorders>
          <w:bottom w:color="B2A1C6" w:space="0" w:sz="12" w:themeColor="accent4" w:themeTint="9A" w:val="single"/>
        </w:tcBorders>
      </w:tcPr>
    </w:tblStylePr>
    <w:tblStylePr w:type="lastRow">
      <w:pPr>
        <w:snapToGrid/>
      </w:pPr>
      <w:rPr>
        <w:b/>
        <w:color w:themeColor="accent4" w:themeTint="99" w:val="B3A2C7"/>
        <w14:textFill>
          <w14:solidFill>
            <w14:schemeClr w14:val="accent4">
              <w14:lumMod w14:val="60000"/>
              <w14:lumOff w14:val="40000"/>
            </w14:schemeClr>
          </w14:solidFill>
        </w14:textFill>
      </w:rPr>
    </w:tblStylePr>
    <w:tblStylePr w:type="firstCol">
      <w:pPr>
        <w:snapToGrid/>
      </w:pPr>
      <w:rPr>
        <w:b/>
        <w:color w:themeColor="accent4" w:themeTint="99" w:val="B3A2C7"/>
        <w14:textFill>
          <w14:solidFill>
            <w14:schemeClr w14:val="accent4">
              <w14:lumMod w14:val="60000"/>
              <w14:lumOff w14:val="40000"/>
            </w14:schemeClr>
          </w14:solidFill>
        </w14:textFill>
      </w:rPr>
    </w:tblStylePr>
    <w:tblStylePr w:type="lastCol">
      <w:pPr>
        <w:snapToGrid/>
      </w:pPr>
      <w:rPr>
        <w:b/>
        <w:color w:themeColor="accent4" w:themeTint="99" w:val="B3A2C7"/>
        <w14:textFill>
          <w14:solidFill>
            <w14:schemeClr w14:val="accent4">
              <w14:lumMod w14:val="60000"/>
              <w14:lumOff w14:val="40000"/>
            </w14:schemeClr>
          </w14:solidFill>
        </w14:textFill>
      </w:rPr>
    </w:tblStylePr>
    <w:tblStylePr w:type="band1Vert">
      <w:pPr>
        <w:snapToGrid/>
      </w:pPr>
      <w:tblPr/>
      <w:tcPr>
        <w:shd w:color="FFFFFF" w:fill="E5DFEC" w:themeFill="accent4" w:themeFillTint="34" w:val="clear"/>
      </w:tcPr>
    </w:tblStylePr>
    <w:tblStylePr w:type="band2Vert">
      <w:pPr>
        <w:snapToGrid/>
      </w:pPr>
    </w:tblStylePr>
    <w:tblStylePr w:type="band1Horz">
      <w:pPr>
        <w:snapToGrid/>
      </w:pPr>
      <w:rPr>
        <w:rFonts w:ascii="Arial" w:hAnsi="Arial"/>
        <w:color w:themeColor="accent4" w:themeTint="99" w:val="B3A2C7"/>
        <w:sz w:val="22"/>
        <w14:textFill>
          <w14:solidFill>
            <w14:schemeClr w14:val="accent4">
              <w14:lumMod w14:val="60000"/>
              <w14:lumOff w14:val="40000"/>
            </w14:schemeClr>
          </w14:solidFill>
        </w14:textFill>
      </w:rPr>
      <w:tblPr/>
      <w:tcPr>
        <w:shd w:color="FFFFFF" w:fill="E5DFEC" w:themeFill="accent4" w:themeFillTint="34" w:val="clear"/>
      </w:tcPr>
    </w:tblStylePr>
    <w:tblStylePr w:type="band2Horz">
      <w:pPr>
        <w:snapToGrid/>
      </w:pPr>
      <w:rPr>
        <w:rFonts w:ascii="Arial" w:hAnsi="Arial"/>
        <w:color w:themeColor="accent4" w:themeTint="99" w:val="B3A2C7"/>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5" w:type="table">
    <w:name w:val="Grid Table 6 Colorful - Accent 5"/>
    <w:basedOn w:val="TableNormal"/>
    <w:uiPriority w:val="99"/>
    <w:qFormat/>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pPr>
        <w:snapToGrid/>
      </w:pPr>
      <w:rPr>
        <w:b/>
        <w:color w:themeColor="accent5" w:themeShade="94" w:val="266778"/>
      </w:rPr>
      <w:tblPr/>
      <w:tcPr>
        <w:tcBorders>
          <w:bottom w:color="4BACC6" w:space="0" w:sz="12" w:themeColor="accent5" w:val="single"/>
        </w:tcBorders>
      </w:tcPr>
    </w:tblStylePr>
    <w:tblStylePr w:type="lastRow">
      <w:pPr>
        <w:snapToGrid/>
      </w:pPr>
      <w:rPr>
        <w:b/>
        <w:color w:themeColor="accent5" w:themeShade="94" w:val="266778"/>
      </w:rPr>
    </w:tblStylePr>
    <w:tblStylePr w:type="firstCol">
      <w:pPr>
        <w:snapToGrid/>
      </w:pPr>
      <w:rPr>
        <w:b/>
        <w:color w:themeColor="accent5" w:themeShade="94" w:val="266778"/>
      </w:rPr>
    </w:tblStylePr>
    <w:tblStylePr w:type="lastCol">
      <w:pPr>
        <w:snapToGrid/>
      </w:pPr>
      <w:rPr>
        <w:b/>
        <w:color w:themeColor="accent5" w:themeShade="94" w:val="266778"/>
      </w:rPr>
    </w:tblStylePr>
    <w:tblStylePr w:type="band1Vert">
      <w:pPr>
        <w:snapToGrid/>
      </w:pPr>
      <w:tblPr/>
      <w:tcPr>
        <w:shd w:color="FFFFFF" w:fill="DAEEF3" w:themeFill="accent5" w:themeFillTint="34" w:val="clear"/>
      </w:tcPr>
    </w:tblStylePr>
    <w:tblStylePr w:type="band2Vert">
      <w:pPr>
        <w:snapToGrid/>
      </w:pPr>
    </w:tblStylePr>
    <w:tblStylePr w:type="band1Horz">
      <w:pPr>
        <w:snapToGrid/>
      </w:pPr>
      <w:rPr>
        <w:rFonts w:ascii="Arial" w:hAnsi="Arial"/>
        <w:color w:themeColor="accent5" w:themeShade="94" w:val="266778"/>
        <w:sz w:val="22"/>
      </w:rPr>
      <w:tblPr/>
      <w:tcPr>
        <w:shd w:color="FFFFFF" w:fill="DAEEF3" w:themeFill="accent5" w:themeFillTint="34" w:val="clear"/>
      </w:tcPr>
    </w:tblStylePr>
    <w:tblStylePr w:type="band2Horz">
      <w:pPr>
        <w:snapToGrid/>
      </w:pPr>
      <w:rPr>
        <w:rFonts w:ascii="Arial" w:hAnsi="Arial"/>
        <w:color w:themeColor="accent5" w:themeShade="94" w:val="266778"/>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6Colorful-Accent6" w:type="table">
    <w:name w:val="Grid Table 6 Colorful - Accent 6"/>
    <w:basedOn w:val="TableNormal"/>
    <w:uiPriority w:val="99"/>
    <w:qFormat/>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pPr>
        <w:snapToGrid/>
      </w:pPr>
      <w:rPr>
        <w:b/>
        <w:color w:themeColor="accent5" w:themeShade="94" w:val="266778"/>
      </w:rPr>
      <w:tblPr/>
      <w:tcPr>
        <w:tcBorders>
          <w:bottom w:color="F79646" w:space="0" w:sz="12" w:themeColor="accent6" w:val="single"/>
        </w:tcBorders>
      </w:tcPr>
    </w:tblStylePr>
    <w:tblStylePr w:type="lastRow">
      <w:pPr>
        <w:snapToGrid/>
      </w:pPr>
      <w:rPr>
        <w:b/>
        <w:color w:themeColor="accent5" w:themeShade="94" w:val="266778"/>
      </w:rPr>
    </w:tblStylePr>
    <w:tblStylePr w:type="firstCol">
      <w:pPr>
        <w:snapToGrid/>
      </w:pPr>
      <w:rPr>
        <w:b/>
        <w:color w:themeColor="accent5" w:themeShade="94" w:val="266778"/>
      </w:rPr>
    </w:tblStylePr>
    <w:tblStylePr w:type="lastCol">
      <w:pPr>
        <w:snapToGrid/>
      </w:pPr>
      <w:rPr>
        <w:b/>
        <w:color w:themeColor="accent5" w:themeShade="94" w:val="266778"/>
      </w:rPr>
    </w:tblStylePr>
    <w:tblStylePr w:type="band1Vert">
      <w:pPr>
        <w:snapToGrid/>
      </w:pPr>
      <w:tblPr/>
      <w:tcPr>
        <w:shd w:color="FFFFFF" w:fill="FDE9D9" w:themeFill="accent6" w:themeFillTint="34" w:val="clear"/>
      </w:tcPr>
    </w:tblStylePr>
    <w:tblStylePr w:type="band2Vert">
      <w:pPr>
        <w:snapToGrid/>
      </w:pPr>
    </w:tblStylePr>
    <w:tblStylePr w:type="band1Horz">
      <w:pPr>
        <w:snapToGrid/>
      </w:pPr>
      <w:rPr>
        <w:rFonts w:ascii="Arial" w:hAnsi="Arial"/>
        <w:color w:themeColor="accent5" w:themeShade="94" w:val="266778"/>
        <w:sz w:val="22"/>
      </w:rPr>
      <w:tblPr/>
      <w:tcPr>
        <w:shd w:color="FFFFFF" w:fill="FDE9D9" w:themeFill="accent6" w:themeFillTint="34" w:val="clear"/>
      </w:tcPr>
    </w:tblStylePr>
    <w:tblStylePr w:type="band2Horz">
      <w:pPr>
        <w:snapToGrid/>
      </w:pPr>
      <w:rPr>
        <w:rFonts w:ascii="Arial" w:hAnsi="Arial"/>
        <w:color w:themeColor="accent5" w:themeShade="94" w:val="266778"/>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71" w:type="table">
    <w:name w:val="网格表 7 彩色1"/>
    <w:basedOn w:val="TableNormal"/>
    <w:uiPriority w:val="99"/>
    <w:qFormat/>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pPr>
        <w:snapToGrid/>
      </w:pPr>
      <w:rPr>
        <w:rFonts w:ascii="Arial" w:hAnsi="Arial"/>
        <w:b/>
        <w:color w:themeColor="text1" w:themeTint="80" w:val="808080"/>
        <w:sz w:val="22"/>
        <w14:textFill>
          <w14:solidFill>
            <w14:schemeClr w14:val="tx1">
              <w14:lumMod w14:val="50000"/>
              <w14:lumOff w14:val="50000"/>
            </w14:schemeClr>
          </w14:solidFill>
        </w14:textFill>
      </w:rPr>
      <w:tblPr/>
      <w:tcPr>
        <w:tcBorders>
          <w:top w:val="nil"/>
          <w:left w:val="nil"/>
          <w:bottom w:color="7E7E7E" w:space="0" w:sz="4" w:themeColor="text1" w:themeTint="80" w:val="single"/>
          <w:right w:val="nil"/>
        </w:tcBorders>
        <w:shd w:color="FFFFFF" w:fill="FFFFFF" w:themeFill="light1" w:val="clear"/>
      </w:tcPr>
    </w:tblStylePr>
    <w:tblStylePr w:type="lastRow">
      <w:pPr>
        <w:snapToGrid/>
      </w:pPr>
      <w:rPr>
        <w:rFonts w:ascii="Arial" w:hAnsi="Arial"/>
        <w:b/>
        <w:color w:themeColor="text1" w:themeTint="80" w:val="808080"/>
        <w:sz w:val="22"/>
        <w14:textFill>
          <w14:solidFill>
            <w14:schemeClr w14:val="tx1">
              <w14:lumMod w14:val="50000"/>
              <w14:lumOff w14:val="50000"/>
            </w14:schemeClr>
          </w14:solidFill>
        </w14:textFill>
      </w:rPr>
      <w:tblPr/>
      <w:tcPr>
        <w:tcBorders>
          <w:top w:color="7E7E7E" w:space="0" w:sz="4" w:themeColor="text1" w:themeTint="80" w:val="single"/>
          <w:left w:val="nil"/>
          <w:bottom w:val="nil"/>
          <w:right w:val="nil"/>
        </w:tcBorders>
        <w:shd w:color="FFFFFF" w:fill="FFFFFF" w:themeFill="light1" w:val="clear"/>
      </w:tcPr>
    </w:tblStylePr>
    <w:tblStylePr w:type="firstCol">
      <w:pPr>
        <w:snapToGrid/>
        <w:jc w:val="right"/>
      </w:pPr>
      <w:rPr>
        <w:rFonts w:ascii="Arial" w:hAnsi="Arial"/>
        <w:i/>
        <w:color w:themeColor="text1" w:themeTint="80" w:val="808080"/>
        <w:sz w:val="22"/>
        <w14:textFill>
          <w14:solidFill>
            <w14:schemeClr w14:val="tx1">
              <w14:lumMod w14:val="50000"/>
              <w14:lumOff w14:val="50000"/>
            </w14:schemeClr>
          </w14:solidFill>
        </w14:textFill>
      </w:rPr>
      <w:tblPr/>
      <w:tcPr>
        <w:tcBorders>
          <w:top w:val="nil"/>
          <w:left w:val="nil"/>
          <w:bottom w:val="nil"/>
          <w:right w:color="7E7E7E" w:space="0" w:sz="4" w:themeColor="text1" w:themeTint="80" w:val="single"/>
        </w:tcBorders>
        <w:shd w:color="FFFFFF" w:fill="FFFFFF" w:val="clear"/>
      </w:tcPr>
    </w:tblStylePr>
    <w:tblStylePr w:type="lastCol">
      <w:pPr>
        <w:snapToGrid/>
      </w:pPr>
      <w:rPr>
        <w:rFonts w:ascii="Arial" w:hAnsi="Arial"/>
        <w:i/>
        <w:color w:themeColor="text1" w:themeTint="80" w:val="808080"/>
        <w:sz w:val="22"/>
        <w14:textFill>
          <w14:solidFill>
            <w14:schemeClr w14:val="tx1">
              <w14:lumMod w14:val="50000"/>
              <w14:lumOff w14:val="50000"/>
            </w14:schemeClr>
          </w14:solidFill>
        </w14:textFill>
      </w:rPr>
      <w:tblPr/>
      <w:tcPr>
        <w:tcBorders>
          <w:top w:val="nil"/>
          <w:left w:color="7E7E7E" w:space="0" w:sz="4" w:themeColor="text1" w:themeTint="80" w:val="single"/>
          <w:bottom w:val="nil"/>
          <w:right w:val="nil"/>
        </w:tcBorders>
        <w:shd w:color="FFFFFF" w:fill="FFFFFF" w:val="clear"/>
      </w:tcPr>
    </w:tblStylePr>
    <w:tblStylePr w:type="band1Vert">
      <w:pPr>
        <w:snapToGrid/>
      </w:pPr>
      <w:tblPr/>
      <w:tcPr>
        <w:shd w:color="FFFFFF" w:fill="F1F1F1" w:themeFill="text1" w:themeFillTint="0D" w:val="clear"/>
      </w:tcPr>
    </w:tblStylePr>
    <w:tblStylePr w:type="band2Vert">
      <w:pPr>
        <w:snapToGrid/>
      </w:pPr>
    </w:tblStylePr>
    <w:tblStylePr w:type="band1Horz">
      <w:pPr>
        <w:snapToGrid/>
      </w:pPr>
      <w:rPr>
        <w:rFonts w:ascii="Arial" w:hAnsi="Arial"/>
        <w:color w:themeColor="text1" w:themeTint="80" w:val="808080"/>
        <w:sz w:val="22"/>
        <w14:textFill>
          <w14:solidFill>
            <w14:schemeClr w14:val="tx1">
              <w14:lumMod w14:val="50000"/>
              <w14:lumOff w14:val="50000"/>
            </w14:schemeClr>
          </w14:solidFill>
        </w14:textFill>
      </w:rPr>
      <w:tblPr/>
      <w:tcPr>
        <w:shd w:color="FFFFFF" w:fill="F1F1F1" w:themeFill="text1" w:themeFillTint="0D" w:val="clear"/>
      </w:tcPr>
    </w:tblStylePr>
    <w:tblStylePr w:type="band2Horz">
      <w:pPr>
        <w:snapToGrid/>
      </w:pPr>
      <w:rPr>
        <w:rFonts w:ascii="Arial" w:hAnsi="Arial"/>
        <w:color w:themeColor="text1" w:themeTint="80" w:val="8080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1" w:type="table">
    <w:name w:val="Grid Table 7 Colorful - Accent 1"/>
    <w:basedOn w:val="TableNormal"/>
    <w:uiPriority w:val="99"/>
    <w:qFormat/>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pPr>
        <w:snapToGrid/>
      </w:pPr>
      <w:rPr>
        <w:rFonts w:ascii="Arial" w:hAnsi="Arial"/>
        <w:b/>
        <w:color w:themeColor="accent1" w:themeTint="80" w:val="A7C0DE"/>
        <w:sz w:val="22"/>
        <w14:textFill>
          <w14:solidFill>
            <w14:schemeClr w14:val="accent1">
              <w14:lumMod w14:val="50000"/>
              <w14:lumOff w14:val="50000"/>
            </w14:schemeClr>
          </w14:solidFill>
        </w14:textFill>
      </w:rPr>
      <w:tblPr/>
      <w:tcPr>
        <w:tcBorders>
          <w:top w:val="nil"/>
          <w:left w:val="nil"/>
          <w:bottom w:color="A6BFDD" w:space="0" w:sz="4" w:themeColor="accent1" w:themeTint="80" w:val="single"/>
          <w:right w:val="nil"/>
        </w:tcBorders>
        <w:shd w:color="FFFFFF" w:fill="FFFFFF" w:themeFill="light1" w:val="clear"/>
      </w:tcPr>
    </w:tblStylePr>
    <w:tblStylePr w:type="lastRow">
      <w:pPr>
        <w:snapToGrid/>
      </w:pPr>
      <w:rPr>
        <w:rFonts w:ascii="Arial" w:hAnsi="Arial"/>
        <w:b/>
        <w:color w:themeColor="accent1" w:themeTint="80" w:val="A7C0DE"/>
        <w:sz w:val="22"/>
        <w14:textFill>
          <w14:solidFill>
            <w14:schemeClr w14:val="accent1">
              <w14:lumMod w14:val="50000"/>
              <w14:lumOff w14:val="50000"/>
            </w14:schemeClr>
          </w14:solidFill>
        </w14:textFill>
      </w:rPr>
      <w:tblPr/>
      <w:tcPr>
        <w:tcBorders>
          <w:top w:color="A6BFDD" w:space="0" w:sz="4" w:themeColor="accent1" w:themeTint="80" w:val="single"/>
          <w:left w:val="nil"/>
          <w:bottom w:val="nil"/>
          <w:right w:val="nil"/>
        </w:tcBorders>
        <w:shd w:color="FFFFFF" w:fill="FFFFFF" w:themeFill="light1" w:val="clear"/>
      </w:tcPr>
    </w:tblStylePr>
    <w:tblStylePr w:type="firstCol">
      <w:pPr>
        <w:snapToGrid/>
        <w:jc w:val="right"/>
      </w:pPr>
      <w:rPr>
        <w:rFonts w:ascii="Arial" w:hAnsi="Arial"/>
        <w:i/>
        <w:color w:themeColor="accent1" w:themeTint="80" w:val="A7C0DE"/>
        <w:sz w:val="22"/>
        <w14:textFill>
          <w14:solidFill>
            <w14:schemeClr w14:val="accent1">
              <w14:lumMod w14:val="50000"/>
              <w14:lumOff w14:val="50000"/>
            </w14:schemeClr>
          </w14:solidFill>
        </w14:textFill>
      </w:rPr>
      <w:tblPr/>
      <w:tcPr>
        <w:tcBorders>
          <w:top w:val="nil"/>
          <w:left w:val="nil"/>
          <w:bottom w:val="nil"/>
          <w:right w:color="A6BFDD" w:space="0" w:sz="4" w:themeColor="accent1" w:themeTint="80" w:val="single"/>
        </w:tcBorders>
        <w:shd w:color="FFFFFF" w:fill="FFFFFF" w:val="clear"/>
      </w:tcPr>
    </w:tblStylePr>
    <w:tblStylePr w:type="lastCol">
      <w:pPr>
        <w:snapToGrid/>
      </w:pPr>
      <w:rPr>
        <w:rFonts w:ascii="Arial" w:hAnsi="Arial"/>
        <w:i/>
        <w:color w:themeColor="accent1" w:themeTint="80" w:val="A7C0DE"/>
        <w:sz w:val="22"/>
        <w14:textFill>
          <w14:solidFill>
            <w14:schemeClr w14:val="accent1">
              <w14:lumMod w14:val="50000"/>
              <w14:lumOff w14:val="50000"/>
            </w14:schemeClr>
          </w14:solidFill>
        </w14:textFill>
      </w:rPr>
      <w:tblPr/>
      <w:tcPr>
        <w:tcBorders>
          <w:top w:val="nil"/>
          <w:left w:color="A6BFDD" w:space="0" w:sz="4" w:themeColor="accent1" w:themeTint="80" w:val="single"/>
          <w:bottom w:val="nil"/>
          <w:right w:val="nil"/>
        </w:tcBorders>
        <w:shd w:color="FFFFFF" w:fill="FFFFFF" w:val="clear"/>
      </w:tcPr>
    </w:tblStylePr>
    <w:tblStylePr w:type="band1Vert">
      <w:pPr>
        <w:snapToGrid/>
      </w:pPr>
      <w:tblPr/>
      <w:tcPr>
        <w:shd w:color="FFFFFF" w:fill="DBE5F1" w:themeFill="accent1" w:themeFillTint="34" w:val="clear"/>
      </w:tcPr>
    </w:tblStylePr>
    <w:tblStylePr w:type="band2Vert">
      <w:pPr>
        <w:snapToGrid/>
      </w:pPr>
    </w:tblStylePr>
    <w:tblStylePr w:type="band1Horz">
      <w:pPr>
        <w:snapToGrid/>
      </w:pPr>
      <w:rPr>
        <w:rFonts w:ascii="Arial" w:hAnsi="Arial"/>
        <w:color w:themeColor="accent1" w:themeTint="80" w:val="A7C0DE"/>
        <w:sz w:val="22"/>
        <w14:textFill>
          <w14:solidFill>
            <w14:schemeClr w14:val="accent1">
              <w14:lumMod w14:val="50000"/>
              <w14:lumOff w14:val="50000"/>
            </w14:schemeClr>
          </w14:solidFill>
        </w14:textFill>
      </w:rPr>
      <w:tblPr/>
      <w:tcPr>
        <w:shd w:color="FFFFFF" w:fill="DBE5F1" w:themeFill="accent1" w:themeFillTint="34" w:val="clear"/>
      </w:tcPr>
    </w:tblStylePr>
    <w:tblStylePr w:type="band2Horz">
      <w:pPr>
        <w:snapToGrid/>
      </w:pPr>
      <w:rPr>
        <w:rFonts w:ascii="Arial" w:hAnsi="Arial"/>
        <w:color w:themeColor="accent1" w:themeTint="80" w:val="A7C0DE"/>
        <w:sz w:val="22"/>
        <w14:textFill>
          <w14:solidFill>
            <w14:schemeClr w14:val="accent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2" w:type="table">
    <w:name w:val="Grid Table 7 Colorful - Accent 2"/>
    <w:basedOn w:val="TableNormal"/>
    <w:uiPriority w:val="99"/>
    <w:qFormat/>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pPr>
        <w:snapToGrid/>
      </w:pPr>
      <w:rPr>
        <w:rFonts w:ascii="Arial" w:hAnsi="Arial"/>
        <w:b/>
        <w:color w:themeColor="accent2" w:themeTint="96" w:val="DA9896"/>
        <w:sz w:val="22"/>
        <w14:textFill>
          <w14:solidFill>
            <w14:schemeClr w14:val="accent2">
              <w14:lumMod w14:val="59000"/>
              <w14:lumOff w14:val="41000"/>
            </w14:schemeClr>
          </w14:solidFill>
        </w14:textFill>
      </w:rPr>
      <w:tblPr/>
      <w:tcPr>
        <w:tcBorders>
          <w:top w:val="nil"/>
          <w:left w:val="nil"/>
          <w:bottom w:color="D99795" w:space="0" w:sz="4" w:themeColor="accent2" w:themeTint="97" w:val="single"/>
          <w:right w:val="nil"/>
        </w:tcBorders>
        <w:shd w:color="FFFFFF" w:fill="FFFFFF" w:themeFill="light1" w:val="clear"/>
      </w:tcPr>
    </w:tblStylePr>
    <w:tblStylePr w:type="lastRow">
      <w:pPr>
        <w:snapToGrid/>
      </w:pPr>
      <w:rPr>
        <w:rFonts w:ascii="Arial" w:hAnsi="Arial"/>
        <w:b/>
        <w:color w:themeColor="accent2" w:themeTint="96" w:val="DA9896"/>
        <w:sz w:val="22"/>
        <w14:textFill>
          <w14:solidFill>
            <w14:schemeClr w14:val="accent2">
              <w14:lumMod w14:val="59000"/>
              <w14:lumOff w14:val="41000"/>
            </w14:schemeClr>
          </w14:solidFill>
        </w14:textFill>
      </w:rPr>
      <w:tblPr/>
      <w:tcPr>
        <w:tcBorders>
          <w:top w:color="D99795" w:space="0" w:sz="4" w:themeColor="accent2" w:themeTint="97" w:val="single"/>
          <w:left w:val="nil"/>
          <w:bottom w:val="nil"/>
          <w:right w:val="nil"/>
        </w:tcBorders>
        <w:shd w:color="FFFFFF" w:fill="FFFFFF" w:themeFill="light1" w:val="clear"/>
      </w:tcPr>
    </w:tblStylePr>
    <w:tblStylePr w:type="firstCol">
      <w:pPr>
        <w:snapToGrid/>
        <w:jc w:val="right"/>
      </w:pPr>
      <w:rPr>
        <w:rFonts w:ascii="Arial" w:hAnsi="Arial"/>
        <w:i/>
        <w:color w:themeColor="accent2" w:themeTint="96" w:val="DA9896"/>
        <w:sz w:val="22"/>
        <w14:textFill>
          <w14:solidFill>
            <w14:schemeClr w14:val="accent2">
              <w14:lumMod w14:val="59000"/>
              <w14:lumOff w14:val="41000"/>
            </w14:schemeClr>
          </w14:solidFill>
        </w14:textFill>
      </w:rPr>
      <w:tblPr/>
      <w:tcPr>
        <w:tcBorders>
          <w:top w:val="nil"/>
          <w:left w:val="nil"/>
          <w:bottom w:val="nil"/>
          <w:right w:color="D99795" w:space="0" w:sz="4" w:themeColor="accent2" w:themeTint="97" w:val="single"/>
        </w:tcBorders>
        <w:shd w:color="FFFFFF" w:fill="FFFFFF" w:val="clear"/>
      </w:tcPr>
    </w:tblStylePr>
    <w:tblStylePr w:type="lastCol">
      <w:pPr>
        <w:snapToGrid/>
      </w:pPr>
      <w:rPr>
        <w:rFonts w:ascii="Arial" w:hAnsi="Arial"/>
        <w:i/>
        <w:color w:themeColor="accent2" w:themeTint="96" w:val="DA9896"/>
        <w:sz w:val="22"/>
        <w14:textFill>
          <w14:solidFill>
            <w14:schemeClr w14:val="accent2">
              <w14:lumMod w14:val="59000"/>
              <w14:lumOff w14:val="41000"/>
            </w14:schemeClr>
          </w14:solidFill>
        </w14:textFill>
      </w:rPr>
      <w:tblPr/>
      <w:tcPr>
        <w:tcBorders>
          <w:top w:val="nil"/>
          <w:left w:color="D99795" w:space="0" w:sz="4" w:themeColor="accent2" w:themeTint="97" w:val="single"/>
          <w:bottom w:val="nil"/>
          <w:right w:val="nil"/>
        </w:tcBorders>
        <w:shd w:color="FFFFFF" w:fill="FFFFFF" w:val="clear"/>
      </w:tcPr>
    </w:tblStylePr>
    <w:tblStylePr w:type="band1Vert">
      <w:pPr>
        <w:snapToGrid/>
      </w:pPr>
      <w:tblPr/>
      <w:tcPr>
        <w:shd w:color="FFFFFF" w:fill="F2DCDC" w:themeFill="accent2" w:themeFillTint="32" w:val="clear"/>
      </w:tcPr>
    </w:tblStylePr>
    <w:tblStylePr w:type="band2Vert">
      <w:pPr>
        <w:snapToGrid/>
      </w:pPr>
    </w:tblStylePr>
    <w:tblStylePr w:type="band1Horz">
      <w:pPr>
        <w:snapToGrid/>
      </w:pPr>
      <w:rPr>
        <w:rFonts w:ascii="Arial" w:hAnsi="Arial"/>
        <w:color w:themeColor="accent2" w:themeTint="96" w:val="DA9896"/>
        <w:sz w:val="22"/>
        <w14:textFill>
          <w14:solidFill>
            <w14:schemeClr w14:val="accent2">
              <w14:lumMod w14:val="59000"/>
              <w14:lumOff w14:val="41000"/>
            </w14:schemeClr>
          </w14:solidFill>
        </w14:textFill>
      </w:rPr>
      <w:tblPr/>
      <w:tcPr>
        <w:shd w:color="FFFFFF" w:fill="F2DCDC" w:themeFill="accent2" w:themeFillTint="32" w:val="clear"/>
      </w:tcPr>
    </w:tblStylePr>
    <w:tblStylePr w:type="band2Horz">
      <w:pPr>
        <w:snapToGrid/>
      </w:pPr>
      <w:rPr>
        <w:rFonts w:ascii="Arial" w:hAnsi="Arial"/>
        <w:color w:themeColor="accent2" w:themeTint="96" w:val="DA98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3" w:type="table">
    <w:name w:val="Grid Table 7 Colorful - Accent 3"/>
    <w:basedOn w:val="TableNormal"/>
    <w:uiPriority w:val="99"/>
    <w:qFormat/>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pPr>
        <w:snapToGrid/>
      </w:pPr>
      <w:rPr>
        <w:rFonts w:ascii="Arial" w:hAnsi="Arial"/>
        <w:b/>
        <w:color w:themeColor="accent3" w:val="9BBB59"/>
        <w:sz w:val="22"/>
        <w14:textFill>
          <w14:solidFill>
            <w14:schemeClr w14:val="accent3"/>
          </w14:solidFill>
        </w14:textFill>
      </w:rPr>
      <w:tblPr/>
      <w:tcPr>
        <w:tcBorders>
          <w:top w:val="nil"/>
          <w:left w:val="nil"/>
          <w:bottom w:color="9BBB59" w:space="0" w:sz="4" w:themeColor="accent3" w:themeTint="FE" w:val="single"/>
          <w:right w:val="nil"/>
        </w:tcBorders>
        <w:shd w:color="FFFFFF" w:fill="FFFFFF" w:themeFill="light1" w:val="clear"/>
      </w:tcPr>
    </w:tblStylePr>
    <w:tblStylePr w:type="lastRow">
      <w:pPr>
        <w:snapToGrid/>
      </w:pPr>
      <w:rPr>
        <w:rFonts w:ascii="Arial" w:hAnsi="Arial"/>
        <w:b/>
        <w:color w:themeColor="accent3" w:val="9BBB59"/>
        <w:sz w:val="22"/>
        <w14:textFill>
          <w14:solidFill>
            <w14:schemeClr w14:val="accent3"/>
          </w14:solidFill>
        </w14:textFill>
      </w:rPr>
      <w:tblPr/>
      <w:tcPr>
        <w:tcBorders>
          <w:top w:color="9BBB59" w:space="0" w:sz="4" w:themeColor="accent3" w:themeTint="FE" w:val="single"/>
          <w:left w:val="nil"/>
          <w:bottom w:val="nil"/>
          <w:right w:val="nil"/>
        </w:tcBorders>
        <w:shd w:color="FFFFFF" w:fill="FFFFFF" w:themeFill="light1" w:val="clear"/>
      </w:tcPr>
    </w:tblStylePr>
    <w:tblStylePr w:type="firstCol">
      <w:pPr>
        <w:snapToGrid/>
        <w:jc w:val="right"/>
      </w:pPr>
      <w:rPr>
        <w:rFonts w:ascii="Arial" w:hAnsi="Arial"/>
        <w:i/>
        <w:color w:themeColor="accent3" w:val="9BBB59"/>
        <w:sz w:val="22"/>
        <w14:textFill>
          <w14:solidFill>
            <w14:schemeClr w14:val="accent3"/>
          </w14:solidFill>
        </w14:textFill>
      </w:rPr>
      <w:tblPr/>
      <w:tcPr>
        <w:tcBorders>
          <w:top w:val="nil"/>
          <w:left w:val="nil"/>
          <w:bottom w:val="nil"/>
          <w:right w:color="9BBB59" w:space="0" w:sz="4" w:themeColor="accent3" w:themeTint="FE" w:val="single"/>
        </w:tcBorders>
        <w:shd w:color="FFFFFF" w:fill="FFFFFF" w:val="clear"/>
      </w:tcPr>
    </w:tblStylePr>
    <w:tblStylePr w:type="lastCol">
      <w:pPr>
        <w:snapToGrid/>
      </w:pPr>
      <w:rPr>
        <w:rFonts w:ascii="Arial" w:hAnsi="Arial"/>
        <w:i/>
        <w:color w:themeColor="accent3" w:val="9BBB59"/>
        <w:sz w:val="22"/>
        <w14:textFill>
          <w14:solidFill>
            <w14:schemeClr w14:val="accent3"/>
          </w14:solidFill>
        </w14:textFill>
      </w:rPr>
      <w:tblPr/>
      <w:tcPr>
        <w:tcBorders>
          <w:top w:val="nil"/>
          <w:left w:color="9BBB59" w:space="0" w:sz="4" w:themeColor="accent3" w:themeTint="FE" w:val="single"/>
          <w:bottom w:val="nil"/>
          <w:right w:val="nil"/>
        </w:tcBorders>
        <w:shd w:color="FFFFFF" w:fill="FFFFFF" w:val="clear"/>
      </w:tcPr>
    </w:tblStylePr>
    <w:tblStylePr w:type="band1Vert">
      <w:pPr>
        <w:snapToGrid/>
      </w:pPr>
      <w:tblPr/>
      <w:tcPr>
        <w:shd w:color="FFFFFF" w:fill="EAF1DD" w:themeFill="accent3" w:themeFillTint="34" w:val="clear"/>
      </w:tcPr>
    </w:tblStylePr>
    <w:tblStylePr w:type="band2Vert">
      <w:pPr>
        <w:snapToGrid/>
      </w:pPr>
    </w:tblStylePr>
    <w:tblStylePr w:type="band1Horz">
      <w:pPr>
        <w:snapToGrid/>
      </w:pPr>
      <w:rPr>
        <w:rFonts w:ascii="Arial" w:hAnsi="Arial"/>
        <w:color w:themeColor="accent3" w:val="9BBB59"/>
        <w:sz w:val="22"/>
        <w14:textFill>
          <w14:solidFill>
            <w14:schemeClr w14:val="accent3"/>
          </w14:solidFill>
        </w14:textFill>
      </w:rPr>
      <w:tblPr/>
      <w:tcPr>
        <w:shd w:color="FFFFFF" w:fill="EAF1DD" w:themeFill="accent3" w:themeFillTint="34" w:val="clear"/>
      </w:tcPr>
    </w:tblStylePr>
    <w:tblStylePr w:type="band2Horz">
      <w:pPr>
        <w:snapToGrid/>
      </w:pPr>
      <w:rPr>
        <w:rFonts w:ascii="Arial" w:hAnsi="Arial"/>
        <w:color w:themeColor="accent3" w:val="9BBB59"/>
        <w:sz w:val="22"/>
        <w14:textFill>
          <w14:solidFill>
            <w14:schemeClr w14:val="accent3"/>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4" w:type="table">
    <w:name w:val="Grid Table 7 Colorful - Accent 4"/>
    <w:basedOn w:val="TableNormal"/>
    <w:uiPriority w:val="99"/>
    <w:qFormat/>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pPr>
        <w:snapToGrid/>
      </w:pPr>
      <w:rPr>
        <w:rFonts w:ascii="Arial" w:hAnsi="Arial"/>
        <w:b/>
        <w:color w:themeColor="accent4" w:themeTint="99" w:val="B3A2C7"/>
        <w:sz w:val="22"/>
        <w14:textFill>
          <w14:solidFill>
            <w14:schemeClr w14:val="accent4">
              <w14:lumMod w14:val="60000"/>
              <w14:lumOff w14:val="40000"/>
            </w14:schemeClr>
          </w14:solidFill>
        </w14:textFill>
      </w:rPr>
      <w:tblPr/>
      <w:tcPr>
        <w:tcBorders>
          <w:top w:val="nil"/>
          <w:left w:val="nil"/>
          <w:bottom w:color="B2A1C6" w:space="0" w:sz="4" w:themeColor="accent4" w:themeTint="9A" w:val="single"/>
          <w:right w:val="nil"/>
        </w:tcBorders>
        <w:shd w:color="FFFFFF" w:fill="FFFFFF" w:themeFill="light1" w:val="clear"/>
      </w:tcPr>
    </w:tblStylePr>
    <w:tblStylePr w:type="lastRow">
      <w:pPr>
        <w:snapToGrid/>
      </w:pPr>
      <w:rPr>
        <w:rFonts w:ascii="Arial" w:hAnsi="Arial"/>
        <w:b/>
        <w:color w:themeColor="accent4" w:themeTint="99" w:val="B3A2C7"/>
        <w:sz w:val="22"/>
        <w14:textFill>
          <w14:solidFill>
            <w14:schemeClr w14:val="accent4">
              <w14:lumMod w14:val="60000"/>
              <w14:lumOff w14:val="40000"/>
            </w14:schemeClr>
          </w14:solidFill>
        </w14:textFill>
      </w:rPr>
      <w:tblPr/>
      <w:tcPr>
        <w:tcBorders>
          <w:top w:color="B2A1C6" w:space="0" w:sz="4" w:themeColor="accent4" w:themeTint="9A" w:val="single"/>
          <w:left w:val="nil"/>
          <w:bottom w:val="nil"/>
          <w:right w:val="nil"/>
        </w:tcBorders>
        <w:shd w:color="FFFFFF" w:fill="FFFFFF" w:themeFill="light1" w:val="clear"/>
      </w:tcPr>
    </w:tblStylePr>
    <w:tblStylePr w:type="firstCol">
      <w:pPr>
        <w:snapToGrid/>
        <w:jc w:val="right"/>
      </w:pPr>
      <w:rPr>
        <w:rFonts w:ascii="Arial" w:hAnsi="Arial"/>
        <w:i/>
        <w:color w:themeColor="accent4" w:themeTint="99" w:val="B3A2C7"/>
        <w:sz w:val="22"/>
        <w14:textFill>
          <w14:solidFill>
            <w14:schemeClr w14:val="accent4">
              <w14:lumMod w14:val="60000"/>
              <w14:lumOff w14:val="40000"/>
            </w14:schemeClr>
          </w14:solidFill>
        </w14:textFill>
      </w:rPr>
      <w:tblPr/>
      <w:tcPr>
        <w:tcBorders>
          <w:top w:val="nil"/>
          <w:left w:val="nil"/>
          <w:bottom w:val="nil"/>
          <w:right w:color="B2A1C6" w:space="0" w:sz="4" w:themeColor="accent4" w:themeTint="9A" w:val="single"/>
        </w:tcBorders>
        <w:shd w:color="FFFFFF" w:fill="FFFFFF" w:val="clear"/>
      </w:tcPr>
    </w:tblStylePr>
    <w:tblStylePr w:type="lastCol">
      <w:pPr>
        <w:snapToGrid/>
      </w:pPr>
      <w:rPr>
        <w:rFonts w:ascii="Arial" w:hAnsi="Arial"/>
        <w:i/>
        <w:color w:themeColor="accent4" w:themeTint="99" w:val="B3A2C7"/>
        <w:sz w:val="22"/>
        <w14:textFill>
          <w14:solidFill>
            <w14:schemeClr w14:val="accent4">
              <w14:lumMod w14:val="60000"/>
              <w14:lumOff w14:val="40000"/>
            </w14:schemeClr>
          </w14:solidFill>
        </w14:textFill>
      </w:rPr>
      <w:tblPr/>
      <w:tcPr>
        <w:tcBorders>
          <w:top w:val="nil"/>
          <w:left w:color="B2A1C6" w:space="0" w:sz="4" w:themeColor="accent4" w:themeTint="9A" w:val="single"/>
          <w:bottom w:val="nil"/>
          <w:right w:val="nil"/>
        </w:tcBorders>
        <w:shd w:color="FFFFFF" w:fill="FFFFFF" w:val="clear"/>
      </w:tcPr>
    </w:tblStylePr>
    <w:tblStylePr w:type="band1Vert">
      <w:pPr>
        <w:snapToGrid/>
      </w:pPr>
      <w:tblPr/>
      <w:tcPr>
        <w:shd w:color="FFFFFF" w:fill="E5DFEC" w:themeFill="accent4" w:themeFillTint="34" w:val="clear"/>
      </w:tcPr>
    </w:tblStylePr>
    <w:tblStylePr w:type="band2Vert">
      <w:pPr>
        <w:snapToGrid/>
      </w:pPr>
    </w:tblStylePr>
    <w:tblStylePr w:type="band1Horz">
      <w:pPr>
        <w:snapToGrid/>
      </w:pPr>
      <w:rPr>
        <w:rFonts w:ascii="Arial" w:hAnsi="Arial"/>
        <w:color w:themeColor="accent4" w:themeTint="99" w:val="B3A2C7"/>
        <w:sz w:val="22"/>
        <w14:textFill>
          <w14:solidFill>
            <w14:schemeClr w14:val="accent4">
              <w14:lumMod w14:val="60000"/>
              <w14:lumOff w14:val="40000"/>
            </w14:schemeClr>
          </w14:solidFill>
        </w14:textFill>
      </w:rPr>
      <w:tblPr/>
      <w:tcPr>
        <w:shd w:color="FFFFFF" w:fill="E5DFEC" w:themeFill="accent4" w:themeFillTint="34" w:val="clear"/>
      </w:tcPr>
    </w:tblStylePr>
    <w:tblStylePr w:type="band2Horz">
      <w:pPr>
        <w:snapToGrid/>
      </w:pPr>
      <w:rPr>
        <w:rFonts w:ascii="Arial" w:hAnsi="Arial"/>
        <w:color w:themeColor="accent4" w:themeTint="99" w:val="B3A2C7"/>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5" w:type="table">
    <w:name w:val="Grid Table 7 Colorful - Accent 5"/>
    <w:basedOn w:val="TableNormal"/>
    <w:uiPriority w:val="99"/>
    <w:qFormat/>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pPr>
        <w:snapToGrid/>
      </w:pPr>
      <w:rPr>
        <w:rFonts w:ascii="Arial" w:hAnsi="Arial"/>
        <w:b/>
        <w:color w:themeColor="accent5" w:themeShade="94" w:val="266778"/>
        <w:sz w:val="22"/>
      </w:rPr>
      <w:tblPr/>
      <w:tcPr>
        <w:tcBorders>
          <w:top w:val="nil"/>
          <w:left w:val="nil"/>
          <w:bottom w:color="99D0DE" w:space="0" w:sz="4" w:themeColor="accent5" w:themeTint="90" w:val="single"/>
          <w:right w:val="nil"/>
        </w:tcBorders>
        <w:shd w:color="FFFFFF" w:fill="FFFFFF" w:themeFill="light1" w:val="clear"/>
      </w:tcPr>
    </w:tblStylePr>
    <w:tblStylePr w:type="lastRow">
      <w:pPr>
        <w:snapToGrid/>
      </w:pPr>
      <w:rPr>
        <w:rFonts w:ascii="Arial" w:hAnsi="Arial"/>
        <w:b/>
        <w:color w:themeColor="accent5" w:themeShade="94" w:val="266778"/>
        <w:sz w:val="22"/>
      </w:rPr>
      <w:tblPr/>
      <w:tcPr>
        <w:tcBorders>
          <w:top w:color="99D0DE" w:space="0" w:sz="4" w:themeColor="accent5" w:themeTint="90" w:val="single"/>
          <w:left w:val="nil"/>
          <w:bottom w:val="nil"/>
          <w:right w:val="nil"/>
        </w:tcBorders>
        <w:shd w:color="FFFFFF" w:fill="FFFFFF" w:themeFill="light1" w:val="clear"/>
      </w:tcPr>
    </w:tblStylePr>
    <w:tblStylePr w:type="firstCol">
      <w:pPr>
        <w:snapToGrid/>
        <w:jc w:val="right"/>
      </w:pPr>
      <w:rPr>
        <w:rFonts w:ascii="Arial" w:hAnsi="Arial"/>
        <w:i/>
        <w:color w:themeColor="accent5" w:themeShade="94" w:val="266778"/>
        <w:sz w:val="22"/>
      </w:rPr>
      <w:tblPr/>
      <w:tcPr>
        <w:tcBorders>
          <w:top w:val="nil"/>
          <w:left w:val="nil"/>
          <w:bottom w:val="nil"/>
          <w:right w:color="99D0DE" w:space="0" w:sz="4" w:themeColor="accent5" w:themeTint="90" w:val="single"/>
        </w:tcBorders>
        <w:shd w:color="FFFFFF" w:fill="FFFFFF" w:val="clear"/>
      </w:tcPr>
    </w:tblStylePr>
    <w:tblStylePr w:type="lastCol">
      <w:pPr>
        <w:snapToGrid/>
      </w:pPr>
      <w:rPr>
        <w:rFonts w:ascii="Arial" w:hAnsi="Arial"/>
        <w:i/>
        <w:color w:themeColor="accent5" w:themeShade="94" w:val="266778"/>
        <w:sz w:val="22"/>
      </w:rPr>
      <w:tblPr/>
      <w:tcPr>
        <w:tcBorders>
          <w:top w:val="nil"/>
          <w:left w:color="99D0DE" w:space="0" w:sz="4" w:themeColor="accent5" w:themeTint="90" w:val="single"/>
          <w:bottom w:val="nil"/>
          <w:right w:val="nil"/>
        </w:tcBorders>
        <w:shd w:color="FFFFFF" w:fill="FFFFFF" w:val="clear"/>
      </w:tcPr>
    </w:tblStylePr>
    <w:tblStylePr w:type="band1Vert">
      <w:pPr>
        <w:snapToGrid/>
      </w:pPr>
      <w:tblPr/>
      <w:tcPr>
        <w:shd w:color="FFFFFF" w:fill="DAEEF3" w:themeFill="accent5" w:themeFillTint="34" w:val="clear"/>
      </w:tcPr>
    </w:tblStylePr>
    <w:tblStylePr w:type="band2Vert">
      <w:pPr>
        <w:snapToGrid/>
      </w:pPr>
    </w:tblStylePr>
    <w:tblStylePr w:type="band1Horz">
      <w:pPr>
        <w:snapToGrid/>
      </w:pPr>
      <w:rPr>
        <w:rFonts w:ascii="Arial" w:hAnsi="Arial"/>
        <w:color w:themeColor="accent5" w:themeShade="94" w:val="266778"/>
        <w:sz w:val="22"/>
      </w:rPr>
      <w:tblPr/>
      <w:tcPr>
        <w:shd w:color="FFFFFF" w:fill="DAEEF3" w:themeFill="accent5" w:themeFillTint="34" w:val="clear"/>
      </w:tcPr>
    </w:tblStylePr>
    <w:tblStylePr w:type="band2Horz">
      <w:pPr>
        <w:snapToGrid/>
      </w:pPr>
      <w:rPr>
        <w:rFonts w:ascii="Arial" w:hAnsi="Arial"/>
        <w:color w:themeColor="accent5" w:themeShade="94" w:val="266778"/>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GridTable7Colorful-Accent6" w:type="table">
    <w:name w:val="Grid Table 7 Colorful - Accent 6"/>
    <w:basedOn w:val="TableNormal"/>
    <w:uiPriority w:val="99"/>
    <w:qFormat/>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pPr>
        <w:snapToGrid/>
      </w:pPr>
      <w:rPr>
        <w:rFonts w:ascii="Arial" w:hAnsi="Arial"/>
        <w:b/>
        <w:color w:themeColor="accent6" w:themeShade="94" w:val="B05408"/>
        <w:sz w:val="22"/>
      </w:rPr>
      <w:tblPr/>
      <w:tcPr>
        <w:tcBorders>
          <w:top w:val="nil"/>
          <w:left w:val="nil"/>
          <w:bottom w:color="FAC396" w:space="0" w:sz="4" w:themeColor="accent6" w:themeTint="90" w:val="single"/>
          <w:right w:val="nil"/>
        </w:tcBorders>
        <w:shd w:color="FFFFFF" w:fill="FFFFFF" w:themeFill="light1" w:val="clear"/>
      </w:tcPr>
    </w:tblStylePr>
    <w:tblStylePr w:type="lastRow">
      <w:pPr>
        <w:snapToGrid/>
      </w:pPr>
      <w:rPr>
        <w:rFonts w:ascii="Arial" w:hAnsi="Arial"/>
        <w:b/>
        <w:color w:themeColor="accent6" w:themeShade="94" w:val="B05408"/>
        <w:sz w:val="22"/>
      </w:rPr>
      <w:tblPr/>
      <w:tcPr>
        <w:tcBorders>
          <w:top w:color="FAC396" w:space="0" w:sz="4" w:themeColor="accent6" w:themeTint="90" w:val="single"/>
          <w:left w:val="nil"/>
          <w:bottom w:val="nil"/>
          <w:right w:val="nil"/>
        </w:tcBorders>
        <w:shd w:color="FFFFFF" w:fill="FFFFFF" w:themeFill="light1" w:val="clear"/>
      </w:tcPr>
    </w:tblStylePr>
    <w:tblStylePr w:type="firstCol">
      <w:pPr>
        <w:snapToGrid/>
        <w:jc w:val="right"/>
      </w:pPr>
      <w:rPr>
        <w:rFonts w:ascii="Arial" w:hAnsi="Arial"/>
        <w:i/>
        <w:color w:themeColor="accent6" w:themeShade="94" w:val="B05408"/>
        <w:sz w:val="22"/>
      </w:rPr>
      <w:tblPr/>
      <w:tcPr>
        <w:tcBorders>
          <w:top w:val="nil"/>
          <w:left w:val="nil"/>
          <w:bottom w:val="nil"/>
          <w:right w:color="FAC396" w:space="0" w:sz="4" w:themeColor="accent6" w:themeTint="90" w:val="single"/>
        </w:tcBorders>
        <w:shd w:color="FFFFFF" w:fill="FFFFFF" w:val="clear"/>
      </w:tcPr>
    </w:tblStylePr>
    <w:tblStylePr w:type="lastCol">
      <w:pPr>
        <w:snapToGrid/>
      </w:pPr>
      <w:rPr>
        <w:rFonts w:ascii="Arial" w:hAnsi="Arial"/>
        <w:i/>
        <w:color w:themeColor="accent6" w:themeShade="94" w:val="B05408"/>
        <w:sz w:val="22"/>
      </w:rPr>
      <w:tblPr/>
      <w:tcPr>
        <w:tcBorders>
          <w:top w:val="nil"/>
          <w:left w:color="FAC396" w:space="0" w:sz="4" w:themeColor="accent6" w:themeTint="90" w:val="single"/>
          <w:bottom w:val="nil"/>
          <w:right w:val="nil"/>
        </w:tcBorders>
        <w:shd w:color="FFFFFF" w:fill="FFFFFF" w:val="clear"/>
      </w:tcPr>
    </w:tblStylePr>
    <w:tblStylePr w:type="band1Vert">
      <w:pPr>
        <w:snapToGrid/>
      </w:pPr>
      <w:tblPr/>
      <w:tcPr>
        <w:shd w:color="FFFFFF" w:fill="FDE9D9" w:themeFill="accent6" w:themeFillTint="34" w:val="clear"/>
      </w:tcPr>
    </w:tblStylePr>
    <w:tblStylePr w:type="band2Vert">
      <w:pPr>
        <w:snapToGrid/>
      </w:pPr>
    </w:tblStylePr>
    <w:tblStylePr w:type="band1Horz">
      <w:pPr>
        <w:snapToGrid/>
      </w:pPr>
      <w:rPr>
        <w:rFonts w:ascii="Arial" w:hAnsi="Arial"/>
        <w:color w:themeColor="accent6" w:themeShade="94" w:val="B05408"/>
        <w:sz w:val="22"/>
      </w:rPr>
      <w:tblPr/>
      <w:tcPr>
        <w:shd w:color="FFFFFF" w:fill="FDE9D9" w:themeFill="accent6" w:themeFillTint="34" w:val="clear"/>
      </w:tcPr>
    </w:tblStylePr>
    <w:tblStylePr w:type="band2Horz">
      <w:pPr>
        <w:snapToGrid/>
      </w:pPr>
      <w:rPr>
        <w:rFonts w:ascii="Arial" w:hAnsi="Arial"/>
        <w:color w:themeColor="accent6" w:themeShade="94" w:val="B05408"/>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111" w:type="table">
    <w:name w:val="清单表 1 浅色1"/>
    <w:basedOn w:val="TableNormal"/>
    <w:uiPriority w:val="99"/>
    <w:qFormat/>
    <w:tblPr/>
    <w:tblStylePr w:type="firstRow">
      <w:pPr>
        <w:snapToGrid/>
      </w:pPr>
      <w:rPr>
        <w:b/>
        <w:color w:val="404040"/>
      </w:rPr>
      <w:tblPr/>
      <w:tcPr>
        <w:tcBorders>
          <w:top w:val="nil"/>
          <w:left w:val="nil"/>
          <w:bottom w:color="000000" w:space="0" w:sz="4" w:themeColor="text1" w:val="single"/>
          <w:right w:val="nil"/>
        </w:tcBorders>
      </w:tcPr>
    </w:tblStylePr>
    <w:tblStylePr w:type="lastRow">
      <w:pPr>
        <w:snapToGrid/>
      </w:pPr>
      <w:rPr>
        <w:b/>
        <w:color w:val="404040"/>
      </w:rPr>
      <w:tblPr/>
      <w:tcPr>
        <w:tcBorders>
          <w:top w:color="000000" w:space="0" w:sz="4" w:themeColor="text1"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BEBEBE" w:themeFill="text1" w:themeFillTint="40" w:val="clear"/>
      </w:tcPr>
    </w:tblStylePr>
    <w:tblStylePr w:type="band2Vert">
      <w:pPr>
        <w:snapToGrid/>
      </w:pPr>
    </w:tblStylePr>
    <w:tblStylePr w:type="band1Horz">
      <w:pPr>
        <w:snapToGrid/>
      </w:pPr>
      <w:tblPr/>
      <w:tcPr>
        <w:shd w:color="FFFFFF" w:fill="BEBEBE" w:themeFill="tex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1" w:type="table">
    <w:name w:val="List Table 1 Light - Accent 1"/>
    <w:basedOn w:val="TableNormal"/>
    <w:uiPriority w:val="99"/>
    <w:qFormat/>
    <w:tblPr/>
    <w:tblStylePr w:type="firstRow">
      <w:pPr>
        <w:snapToGrid/>
      </w:pPr>
      <w:rPr>
        <w:b/>
        <w:color w:val="404040"/>
      </w:rPr>
      <w:tblPr/>
      <w:tcPr>
        <w:tcBorders>
          <w:top w:val="nil"/>
          <w:left w:val="nil"/>
          <w:bottom w:color="4F81BD" w:space="0" w:sz="4" w:themeColor="accent1" w:val="single"/>
          <w:right w:val="nil"/>
        </w:tcBorders>
      </w:tcPr>
    </w:tblStylePr>
    <w:tblStylePr w:type="lastRow">
      <w:pPr>
        <w:snapToGrid/>
      </w:pPr>
      <w:rPr>
        <w:b/>
        <w:color w:val="404040"/>
      </w:rPr>
      <w:tblPr/>
      <w:tcPr>
        <w:tcBorders>
          <w:top w:color="4F81BD" w:space="0" w:sz="4" w:themeColor="accent1"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D2DFEE" w:themeFill="accent1" w:themeFillTint="40" w:val="clear"/>
      </w:tcPr>
    </w:tblStylePr>
    <w:tblStylePr w:type="band2Vert">
      <w:pPr>
        <w:snapToGrid/>
      </w:pPr>
    </w:tblStylePr>
    <w:tblStylePr w:type="band1Horz">
      <w:pPr>
        <w:snapToGrid/>
      </w:pPr>
      <w:tblPr/>
      <w:tcPr>
        <w:shd w:color="FFFFFF" w:fill="D2DFEE" w:themeFill="accen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2" w:type="table">
    <w:name w:val="List Table 1 Light - Accent 2"/>
    <w:basedOn w:val="TableNormal"/>
    <w:uiPriority w:val="99"/>
    <w:qFormat/>
    <w:tblPr/>
    <w:tblStylePr w:type="firstRow">
      <w:pPr>
        <w:snapToGrid/>
      </w:pPr>
      <w:rPr>
        <w:b/>
        <w:color w:val="404040"/>
      </w:rPr>
      <w:tblPr/>
      <w:tcPr>
        <w:tcBorders>
          <w:top w:val="nil"/>
          <w:left w:val="nil"/>
          <w:bottom w:color="C0504D" w:space="0" w:sz="4" w:themeColor="accent2" w:val="single"/>
          <w:right w:val="nil"/>
        </w:tcBorders>
      </w:tcPr>
    </w:tblStylePr>
    <w:tblStylePr w:type="lastRow">
      <w:pPr>
        <w:snapToGrid/>
      </w:pPr>
      <w:rPr>
        <w:b/>
        <w:color w:val="404040"/>
      </w:rPr>
      <w:tblPr/>
      <w:tcPr>
        <w:tcBorders>
          <w:top w:color="C0504D" w:space="0" w:sz="4" w:themeColor="accent2"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EFD3D2" w:themeFill="accent2" w:themeFillTint="40" w:val="clear"/>
      </w:tcPr>
    </w:tblStylePr>
    <w:tblStylePr w:type="band2Vert">
      <w:pPr>
        <w:snapToGrid/>
      </w:pPr>
    </w:tblStylePr>
    <w:tblStylePr w:type="band1Horz">
      <w:pPr>
        <w:snapToGrid/>
      </w:pPr>
      <w:tblPr/>
      <w:tcPr>
        <w:shd w:color="FFFFFF" w:fill="EFD3D2" w:themeFill="accent2"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3" w:type="table">
    <w:name w:val="List Table 1 Light - Accent 3"/>
    <w:basedOn w:val="TableNormal"/>
    <w:uiPriority w:val="99"/>
    <w:qFormat/>
    <w:tblPr/>
    <w:tblStylePr w:type="firstRow">
      <w:pPr>
        <w:snapToGrid/>
      </w:pPr>
      <w:rPr>
        <w:b/>
        <w:color w:val="404040"/>
      </w:rPr>
      <w:tblPr/>
      <w:tcPr>
        <w:tcBorders>
          <w:top w:val="nil"/>
          <w:left w:val="nil"/>
          <w:bottom w:color="9BBB59" w:space="0" w:sz="4" w:themeColor="accent3" w:val="single"/>
          <w:right w:val="nil"/>
        </w:tcBorders>
      </w:tcPr>
    </w:tblStylePr>
    <w:tblStylePr w:type="lastRow">
      <w:pPr>
        <w:snapToGrid/>
      </w:pPr>
      <w:rPr>
        <w:b/>
        <w:color w:val="404040"/>
      </w:rPr>
      <w:tblPr/>
      <w:tcPr>
        <w:tcBorders>
          <w:top w:color="9BBB59" w:space="0" w:sz="4" w:themeColor="accent3"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E5EDD5" w:themeFill="accent3" w:themeFillTint="40" w:val="clear"/>
      </w:tcPr>
    </w:tblStylePr>
    <w:tblStylePr w:type="band2Vert">
      <w:pPr>
        <w:snapToGrid/>
      </w:pPr>
    </w:tblStylePr>
    <w:tblStylePr w:type="band1Horz">
      <w:pPr>
        <w:snapToGrid/>
      </w:pPr>
      <w:tblPr/>
      <w:tcPr>
        <w:shd w:color="FFFFFF" w:fill="E5EDD5" w:themeFill="accent3"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4" w:type="table">
    <w:name w:val="List Table 1 Light - Accent 4"/>
    <w:basedOn w:val="TableNormal"/>
    <w:uiPriority w:val="99"/>
    <w:qFormat/>
    <w:tblPr/>
    <w:tblStylePr w:type="firstRow">
      <w:pPr>
        <w:snapToGrid/>
      </w:pPr>
      <w:rPr>
        <w:b/>
        <w:color w:val="404040"/>
      </w:rPr>
      <w:tblPr/>
      <w:tcPr>
        <w:tcBorders>
          <w:top w:val="nil"/>
          <w:left w:val="nil"/>
          <w:bottom w:color="8064A2" w:space="0" w:sz="4" w:themeColor="accent4" w:val="single"/>
          <w:right w:val="nil"/>
        </w:tcBorders>
      </w:tcPr>
    </w:tblStylePr>
    <w:tblStylePr w:type="lastRow">
      <w:pPr>
        <w:snapToGrid/>
      </w:pPr>
      <w:rPr>
        <w:b/>
        <w:color w:val="404040"/>
      </w:rPr>
      <w:tblPr/>
      <w:tcPr>
        <w:tcBorders>
          <w:top w:color="8064A2" w:space="0" w:sz="4" w:themeColor="accent4"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DFD8E7" w:themeFill="accent4" w:themeFillTint="40" w:val="clear"/>
      </w:tcPr>
    </w:tblStylePr>
    <w:tblStylePr w:type="band2Vert">
      <w:pPr>
        <w:snapToGrid/>
      </w:pPr>
    </w:tblStylePr>
    <w:tblStylePr w:type="band1Horz">
      <w:pPr>
        <w:snapToGrid/>
      </w:pPr>
      <w:tblPr/>
      <w:tcPr>
        <w:shd w:color="FFFFFF" w:fill="DFD8E7" w:themeFill="accent4"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5" w:type="table">
    <w:name w:val="List Table 1 Light - Accent 5"/>
    <w:basedOn w:val="TableNormal"/>
    <w:uiPriority w:val="99"/>
    <w:qFormat/>
    <w:tblPr/>
    <w:tblStylePr w:type="firstRow">
      <w:pPr>
        <w:snapToGrid/>
      </w:pPr>
      <w:rPr>
        <w:b/>
        <w:color w:val="404040"/>
      </w:rPr>
      <w:tblPr/>
      <w:tcPr>
        <w:tcBorders>
          <w:top w:val="nil"/>
          <w:left w:val="nil"/>
          <w:bottom w:color="4BACC6" w:space="0" w:sz="4" w:themeColor="accent5" w:val="single"/>
          <w:right w:val="nil"/>
        </w:tcBorders>
      </w:tcPr>
    </w:tblStylePr>
    <w:tblStylePr w:type="lastRow">
      <w:pPr>
        <w:snapToGrid/>
      </w:pPr>
      <w:rPr>
        <w:b/>
        <w:color w:val="404040"/>
      </w:rPr>
      <w:tblPr/>
      <w:tcPr>
        <w:tcBorders>
          <w:top w:color="4BACC6" w:space="0" w:sz="4" w:themeColor="accent5"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D1EAF0" w:themeFill="accent5" w:themeFillTint="40" w:val="clear"/>
      </w:tcPr>
    </w:tblStylePr>
    <w:tblStylePr w:type="band2Vert">
      <w:pPr>
        <w:snapToGrid/>
      </w:pPr>
    </w:tblStylePr>
    <w:tblStylePr w:type="band1Horz">
      <w:pPr>
        <w:snapToGrid/>
      </w:pPr>
      <w:tblPr/>
      <w:tcPr>
        <w:shd w:color="FFFFFF" w:fill="D1EAF0" w:themeFill="accent5"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1Light-Accent6" w:type="table">
    <w:name w:val="List Table 1 Light - Accent 6"/>
    <w:basedOn w:val="TableNormal"/>
    <w:uiPriority w:val="99"/>
    <w:qFormat/>
    <w:tblPr/>
    <w:tblStylePr w:type="firstRow">
      <w:pPr>
        <w:snapToGrid/>
      </w:pPr>
      <w:rPr>
        <w:b/>
        <w:color w:val="404040"/>
      </w:rPr>
      <w:tblPr/>
      <w:tcPr>
        <w:tcBorders>
          <w:top w:val="nil"/>
          <w:left w:val="nil"/>
          <w:bottom w:color="F79646" w:space="0" w:sz="4" w:themeColor="accent6" w:val="single"/>
          <w:right w:val="nil"/>
        </w:tcBorders>
      </w:tcPr>
    </w:tblStylePr>
    <w:tblStylePr w:type="lastRow">
      <w:pPr>
        <w:snapToGrid/>
      </w:pPr>
      <w:rPr>
        <w:b/>
        <w:color w:val="404040"/>
      </w:rPr>
      <w:tblPr/>
      <w:tcPr>
        <w:tcBorders>
          <w:top w:color="F79646" w:space="0" w:sz="4" w:themeColor="accent6" w:val="single"/>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color="FFFFFF" w:fill="FCE4D0" w:themeFill="accent6" w:themeFillTint="40" w:val="clear"/>
      </w:tcPr>
    </w:tblStylePr>
    <w:tblStylePr w:type="band2Vert">
      <w:pPr>
        <w:snapToGrid/>
      </w:pPr>
    </w:tblStylePr>
    <w:tblStylePr w:type="band1Horz">
      <w:pPr>
        <w:snapToGrid/>
      </w:pPr>
      <w:tblPr/>
      <w:tcPr>
        <w:shd w:color="FFFFFF" w:fill="FCE4D0" w:themeFill="accent6"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211" w:type="table">
    <w:name w:val="清单表 21"/>
    <w:basedOn w:val="TableNormal"/>
    <w:uiPriority w:val="99"/>
    <w:qFormat/>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pPr>
        <w:snapToGrid/>
      </w:pPr>
      <w:rPr>
        <w:rFonts w:ascii="Arial" w:hAnsi="Arial"/>
        <w:b/>
        <w:color w:val="404040"/>
        <w:sz w:val="22"/>
      </w:rPr>
      <w:tblPr/>
      <w:tcPr>
        <w:tcBorders>
          <w:top w:color="6E6E6E" w:space="0" w:sz="4" w:themeColor="text1" w:themeTint="90" w:val="single"/>
          <w:left w:val="nil"/>
          <w:bottom w:color="6E6E6E" w:space="0" w:sz="4" w:themeColor="text1" w:themeTint="90" w:val="single"/>
          <w:right w:val="nil"/>
        </w:tcBorders>
      </w:tcPr>
    </w:tblStylePr>
    <w:tblStylePr w:type="lastRow">
      <w:pPr>
        <w:snapToGrid/>
      </w:pPr>
      <w:rPr>
        <w:rFonts w:ascii="Arial" w:hAnsi="Arial"/>
        <w:b/>
        <w:color w:val="404040"/>
        <w:sz w:val="22"/>
      </w:rPr>
      <w:tblPr/>
      <w:tcPr>
        <w:tcBorders>
          <w:top w:color="6E6E6E" w:space="0" w:sz="4" w:themeColor="text1" w:themeTint="90" w:val="single"/>
          <w:left w:val="nil"/>
          <w:bottom w:color="6E6E6E" w:space="0" w:sz="4" w:themeColor="text1"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BEBEBE" w:themeFill="text1" w:themeFillTint="40" w:val="clear"/>
      </w:tcPr>
    </w:tblStylePr>
    <w:tblStylePr w:type="band2Vert">
      <w:pPr>
        <w:snapToGrid/>
      </w:pPr>
    </w:tblStylePr>
    <w:tblStylePr w:type="band1Horz">
      <w:pPr>
        <w:snapToGrid/>
      </w:pPr>
      <w:rPr>
        <w:rFonts w:ascii="Arial" w:hAnsi="Arial"/>
        <w:color w:val="404040"/>
        <w:sz w:val="22"/>
      </w:rPr>
      <w:tblPr/>
      <w:tcPr>
        <w:shd w:color="FFFFFF" w:fill="BEBEBE" w:themeFill="tex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1" w:type="table">
    <w:name w:val="List Table 2 - Accent 1"/>
    <w:basedOn w:val="TableNormal"/>
    <w:uiPriority w:val="99"/>
    <w:qFormat/>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pPr>
        <w:snapToGrid/>
      </w:pPr>
      <w:rPr>
        <w:rFonts w:ascii="Arial" w:hAnsi="Arial"/>
        <w:b/>
        <w:color w:val="404040"/>
        <w:sz w:val="22"/>
      </w:rPr>
      <w:tblPr/>
      <w:tcPr>
        <w:tcBorders>
          <w:top w:color="9BB7D9" w:space="0" w:sz="4" w:themeColor="accent1" w:themeTint="90" w:val="single"/>
          <w:left w:val="nil"/>
          <w:bottom w:color="9BB7D9" w:space="0" w:sz="4" w:themeColor="accent1" w:themeTint="90" w:val="single"/>
          <w:right w:val="nil"/>
        </w:tcBorders>
      </w:tcPr>
    </w:tblStylePr>
    <w:tblStylePr w:type="lastRow">
      <w:pPr>
        <w:snapToGrid/>
      </w:pPr>
      <w:rPr>
        <w:rFonts w:ascii="Arial" w:hAnsi="Arial"/>
        <w:b/>
        <w:color w:val="404040"/>
        <w:sz w:val="22"/>
      </w:rPr>
      <w:tblPr/>
      <w:tcPr>
        <w:tcBorders>
          <w:top w:color="9BB7D9" w:space="0" w:sz="4" w:themeColor="accent1" w:themeTint="90" w:val="single"/>
          <w:left w:val="nil"/>
          <w:bottom w:color="9BB7D9" w:space="0" w:sz="4" w:themeColor="accent1"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D2DFEE" w:themeFill="accent1" w:themeFillTint="40" w:val="clear"/>
      </w:tcPr>
    </w:tblStylePr>
    <w:tblStylePr w:type="band2Vert">
      <w:pPr>
        <w:snapToGrid/>
      </w:pPr>
    </w:tblStylePr>
    <w:tblStylePr w:type="band1Horz">
      <w:pPr>
        <w:snapToGrid/>
      </w:pPr>
      <w:rPr>
        <w:rFonts w:ascii="Arial" w:hAnsi="Arial"/>
        <w:color w:val="404040"/>
        <w:sz w:val="22"/>
      </w:rPr>
      <w:tblPr/>
      <w:tcPr>
        <w:shd w:color="FFFFFF" w:fill="D2DFEE" w:themeFill="accen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2" w:type="table">
    <w:name w:val="List Table 2 - Accent 2"/>
    <w:basedOn w:val="TableNormal"/>
    <w:uiPriority w:val="99"/>
    <w:qFormat/>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pPr>
        <w:snapToGrid/>
      </w:pPr>
      <w:rPr>
        <w:rFonts w:ascii="Arial" w:hAnsi="Arial"/>
        <w:b/>
        <w:color w:val="404040"/>
        <w:sz w:val="22"/>
      </w:rPr>
      <w:tblPr/>
      <w:tcPr>
        <w:tcBorders>
          <w:top w:color="DB9C9A" w:space="0" w:sz="4" w:themeColor="accent2" w:themeTint="90" w:val="single"/>
          <w:left w:val="nil"/>
          <w:bottom w:color="DB9C9A" w:space="0" w:sz="4" w:themeColor="accent2" w:themeTint="90" w:val="single"/>
          <w:right w:val="nil"/>
        </w:tcBorders>
      </w:tcPr>
    </w:tblStylePr>
    <w:tblStylePr w:type="lastRow">
      <w:pPr>
        <w:snapToGrid/>
      </w:pPr>
      <w:rPr>
        <w:rFonts w:ascii="Arial" w:hAnsi="Arial"/>
        <w:b/>
        <w:color w:val="404040"/>
        <w:sz w:val="22"/>
      </w:rPr>
      <w:tblPr/>
      <w:tcPr>
        <w:tcBorders>
          <w:top w:color="DB9C9A" w:space="0" w:sz="4" w:themeColor="accent2" w:themeTint="90" w:val="single"/>
          <w:left w:val="nil"/>
          <w:bottom w:color="DB9C9A" w:space="0" w:sz="4" w:themeColor="accent2"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EFD3D2" w:themeFill="accent2" w:themeFillTint="40" w:val="clear"/>
      </w:tcPr>
    </w:tblStylePr>
    <w:tblStylePr w:type="band2Vert">
      <w:pPr>
        <w:snapToGrid/>
      </w:pPr>
    </w:tblStylePr>
    <w:tblStylePr w:type="band1Horz">
      <w:pPr>
        <w:snapToGrid/>
      </w:pPr>
      <w:rPr>
        <w:rFonts w:ascii="Arial" w:hAnsi="Arial"/>
        <w:color w:val="404040"/>
        <w:sz w:val="22"/>
      </w:rPr>
      <w:tblPr/>
      <w:tcPr>
        <w:shd w:color="FFFFFF" w:fill="EFD3D2" w:themeFill="accent2"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3" w:type="table">
    <w:name w:val="List Table 2 - Accent 3"/>
    <w:basedOn w:val="TableNormal"/>
    <w:uiPriority w:val="99"/>
    <w:qFormat/>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pPr>
        <w:snapToGrid/>
      </w:pPr>
      <w:rPr>
        <w:rFonts w:ascii="Arial" w:hAnsi="Arial"/>
        <w:b/>
        <w:color w:val="404040"/>
        <w:sz w:val="22"/>
      </w:rPr>
      <w:tblPr/>
      <w:tcPr>
        <w:tcBorders>
          <w:top w:color="C6D8A1" w:space="0" w:sz="4" w:themeColor="accent3" w:themeTint="90" w:val="single"/>
          <w:left w:val="nil"/>
          <w:bottom w:color="C6D8A1" w:space="0" w:sz="4" w:themeColor="accent3" w:themeTint="90" w:val="single"/>
          <w:right w:val="nil"/>
        </w:tcBorders>
      </w:tcPr>
    </w:tblStylePr>
    <w:tblStylePr w:type="lastRow">
      <w:pPr>
        <w:snapToGrid/>
      </w:pPr>
      <w:rPr>
        <w:rFonts w:ascii="Arial" w:hAnsi="Arial"/>
        <w:b/>
        <w:color w:val="404040"/>
        <w:sz w:val="22"/>
      </w:rPr>
      <w:tblPr/>
      <w:tcPr>
        <w:tcBorders>
          <w:top w:color="C6D8A1" w:space="0" w:sz="4" w:themeColor="accent3" w:themeTint="90" w:val="single"/>
          <w:left w:val="nil"/>
          <w:bottom w:color="C6D8A1" w:space="0" w:sz="4" w:themeColor="accent3"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E5EDD5" w:themeFill="accent3" w:themeFillTint="40" w:val="clear"/>
      </w:tcPr>
    </w:tblStylePr>
    <w:tblStylePr w:type="band2Vert">
      <w:pPr>
        <w:snapToGrid/>
      </w:pPr>
    </w:tblStylePr>
    <w:tblStylePr w:type="band1Horz">
      <w:pPr>
        <w:snapToGrid/>
      </w:pPr>
      <w:rPr>
        <w:rFonts w:ascii="Arial" w:hAnsi="Arial"/>
        <w:color w:val="404040"/>
        <w:sz w:val="22"/>
      </w:rPr>
      <w:tblPr/>
      <w:tcPr>
        <w:shd w:color="FFFFFF" w:fill="E5EDD5" w:themeFill="accent3"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4" w:type="table">
    <w:name w:val="List Table 2 - Accent 4"/>
    <w:basedOn w:val="TableNormal"/>
    <w:uiPriority w:val="99"/>
    <w:qFormat/>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pPr>
        <w:snapToGrid/>
      </w:pPr>
      <w:rPr>
        <w:rFonts w:ascii="Arial" w:hAnsi="Arial"/>
        <w:b/>
        <w:color w:val="404040"/>
        <w:sz w:val="22"/>
      </w:rPr>
      <w:tblPr/>
      <w:tcPr>
        <w:tcBorders>
          <w:top w:color="B7A7CA" w:space="0" w:sz="4" w:themeColor="accent4" w:themeTint="90" w:val="single"/>
          <w:left w:val="nil"/>
          <w:bottom w:color="B7A7CA" w:space="0" w:sz="4" w:themeColor="accent4" w:themeTint="90" w:val="single"/>
          <w:right w:val="nil"/>
        </w:tcBorders>
      </w:tcPr>
    </w:tblStylePr>
    <w:tblStylePr w:type="lastRow">
      <w:pPr>
        <w:snapToGrid/>
      </w:pPr>
      <w:rPr>
        <w:rFonts w:ascii="Arial" w:hAnsi="Arial"/>
        <w:b/>
        <w:color w:val="404040"/>
        <w:sz w:val="22"/>
      </w:rPr>
      <w:tblPr/>
      <w:tcPr>
        <w:tcBorders>
          <w:top w:color="B7A7CA" w:space="0" w:sz="4" w:themeColor="accent4" w:themeTint="90" w:val="single"/>
          <w:left w:val="nil"/>
          <w:bottom w:color="B7A7CA" w:space="0" w:sz="4" w:themeColor="accent4"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DFD8E7" w:themeFill="accent4" w:themeFillTint="40" w:val="clear"/>
      </w:tcPr>
    </w:tblStylePr>
    <w:tblStylePr w:type="band2Vert">
      <w:pPr>
        <w:snapToGrid/>
      </w:pPr>
    </w:tblStylePr>
    <w:tblStylePr w:type="band1Horz">
      <w:pPr>
        <w:snapToGrid/>
      </w:pPr>
      <w:rPr>
        <w:rFonts w:ascii="Arial" w:hAnsi="Arial"/>
        <w:color w:val="404040"/>
        <w:sz w:val="22"/>
      </w:rPr>
      <w:tblPr/>
      <w:tcPr>
        <w:shd w:color="FFFFFF" w:fill="DFD8E7" w:themeFill="accent4"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5" w:type="table">
    <w:name w:val="List Table 2 - Accent 5"/>
    <w:basedOn w:val="TableNormal"/>
    <w:uiPriority w:val="99"/>
    <w:qFormat/>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pPr>
        <w:snapToGrid/>
      </w:pPr>
      <w:rPr>
        <w:rFonts w:ascii="Arial" w:hAnsi="Arial"/>
        <w:b/>
        <w:color w:val="404040"/>
        <w:sz w:val="22"/>
      </w:rPr>
      <w:tblPr/>
      <w:tcPr>
        <w:tcBorders>
          <w:top w:color="99D0DE" w:space="0" w:sz="4" w:themeColor="accent5" w:themeTint="90" w:val="single"/>
          <w:left w:val="nil"/>
          <w:bottom w:color="99D0DE" w:space="0" w:sz="4" w:themeColor="accent5" w:themeTint="90" w:val="single"/>
          <w:right w:val="nil"/>
        </w:tcBorders>
      </w:tcPr>
    </w:tblStylePr>
    <w:tblStylePr w:type="lastRow">
      <w:pPr>
        <w:snapToGrid/>
      </w:pPr>
      <w:rPr>
        <w:rFonts w:ascii="Arial" w:hAnsi="Arial"/>
        <w:b/>
        <w:color w:val="404040"/>
        <w:sz w:val="22"/>
      </w:rPr>
      <w:tblPr/>
      <w:tcPr>
        <w:tcBorders>
          <w:top w:color="99D0DE" w:space="0" w:sz="4" w:themeColor="accent5" w:themeTint="90" w:val="single"/>
          <w:left w:val="nil"/>
          <w:bottom w:color="99D0DE" w:space="0" w:sz="4" w:themeColor="accent5"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D1EAF0" w:themeFill="accent5" w:themeFillTint="40" w:val="clear"/>
      </w:tcPr>
    </w:tblStylePr>
    <w:tblStylePr w:type="band2Vert">
      <w:pPr>
        <w:snapToGrid/>
      </w:pPr>
    </w:tblStylePr>
    <w:tblStylePr w:type="band1Horz">
      <w:pPr>
        <w:snapToGrid/>
      </w:pPr>
      <w:rPr>
        <w:rFonts w:ascii="Arial" w:hAnsi="Arial"/>
        <w:color w:val="404040"/>
        <w:sz w:val="22"/>
      </w:rPr>
      <w:tblPr/>
      <w:tcPr>
        <w:shd w:color="FFFFFF" w:fill="D1EAF0" w:themeFill="accent5"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2-Accent6" w:type="table">
    <w:name w:val="List Table 2 - Accent 6"/>
    <w:basedOn w:val="TableNormal"/>
    <w:uiPriority w:val="99"/>
    <w:qFormat/>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pPr>
        <w:snapToGrid/>
      </w:pPr>
      <w:rPr>
        <w:rFonts w:ascii="Arial" w:hAnsi="Arial"/>
        <w:b/>
        <w:color w:val="404040"/>
        <w:sz w:val="22"/>
      </w:rPr>
      <w:tblPr/>
      <w:tcPr>
        <w:tcBorders>
          <w:top w:color="FAC396" w:space="0" w:sz="4" w:themeColor="accent6" w:themeTint="90" w:val="single"/>
          <w:left w:val="nil"/>
          <w:bottom w:color="FAC396" w:space="0" w:sz="4" w:themeColor="accent6" w:themeTint="90" w:val="single"/>
          <w:right w:val="nil"/>
        </w:tcBorders>
      </w:tcPr>
    </w:tblStylePr>
    <w:tblStylePr w:type="lastRow">
      <w:pPr>
        <w:snapToGrid/>
      </w:pPr>
      <w:rPr>
        <w:rFonts w:ascii="Arial" w:hAnsi="Arial"/>
        <w:b/>
        <w:color w:val="404040"/>
        <w:sz w:val="22"/>
      </w:rPr>
      <w:tblPr/>
      <w:tcPr>
        <w:tcBorders>
          <w:top w:color="FAC396" w:space="0" w:sz="4" w:themeColor="accent6" w:themeTint="90" w:val="single"/>
          <w:left w:val="nil"/>
          <w:bottom w:color="FAC396" w:space="0" w:sz="4" w:themeColor="accent6" w:themeTint="90" w:val="single"/>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color="FFFFFF" w:fill="FCE4D0" w:themeFill="accent6" w:themeFillTint="40" w:val="clear"/>
      </w:tcPr>
    </w:tblStylePr>
    <w:tblStylePr w:type="band2Vert">
      <w:pPr>
        <w:snapToGrid/>
      </w:pPr>
    </w:tblStylePr>
    <w:tblStylePr w:type="band1Horz">
      <w:pPr>
        <w:snapToGrid/>
      </w:pPr>
      <w:rPr>
        <w:rFonts w:ascii="Arial" w:hAnsi="Arial"/>
        <w:color w:val="404040"/>
        <w:sz w:val="22"/>
      </w:rPr>
      <w:tblPr/>
      <w:tcPr>
        <w:shd w:color="FFFFFF" w:fill="FCE4D0" w:themeFill="accent6"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311" w:type="table">
    <w:name w:val="清单表 31"/>
    <w:basedOn w:val="TableNormal"/>
    <w:uiPriority w:val="99"/>
    <w:qFormat/>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pPr>
        <w:snapToGrid/>
      </w:pPr>
      <w:rPr>
        <w:rFonts w:ascii="Arial" w:hAnsi="Arial"/>
        <w:b/>
        <w:color w:val="FFFFFF"/>
        <w:sz w:val="22"/>
      </w:rPr>
      <w:tblPr/>
      <w:tcPr>
        <w:shd w:color="FFFFFF" w:fill="000000" w:themeFill="text1"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000000" w:space="0" w:sz="4" w:themeColor="text1" w:val="single"/>
          <w:right w:color="000000" w:space="0" w:sz="4" w:themeColor="text1" w:val="single"/>
        </w:tcBorders>
      </w:tcPr>
    </w:tblStylePr>
    <w:tblStylePr w:type="band2Vert">
      <w:pPr>
        <w:snapToGrid/>
      </w:pPr>
    </w:tblStylePr>
    <w:tblStylePr w:type="band1Horz">
      <w:pPr>
        <w:snapToGrid/>
      </w:pPr>
      <w:rPr>
        <w:rFonts w:ascii="Arial" w:hAnsi="Arial"/>
        <w:color w:val="404040"/>
        <w:sz w:val="22"/>
      </w:rPr>
      <w:tblPr/>
      <w:tcPr>
        <w:tcBorders>
          <w:top w:color="000000" w:space="0" w:sz="4" w:themeColor="text1" w:val="single"/>
          <w:bottom w:color="000000" w:space="0" w:sz="4" w:themeColor="text1"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1" w:type="table">
    <w:name w:val="List Table 3 - Accent 1"/>
    <w:basedOn w:val="TableNormal"/>
    <w:uiPriority w:val="99"/>
    <w:qFormat/>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pPr>
        <w:snapToGrid/>
      </w:pPr>
      <w:rPr>
        <w:rFonts w:ascii="Arial" w:hAnsi="Arial"/>
        <w:b/>
        <w:color w:val="FFFFFF"/>
        <w:sz w:val="22"/>
      </w:rPr>
      <w:tblPr/>
      <w:tcPr>
        <w:shd w:color="FFFFFF" w:fill="4F81BD" w:themeFill="accent1"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4F81BD" w:space="0" w:sz="4" w:themeColor="accent1" w:val="single"/>
          <w:right w:color="4F81BD" w:space="0" w:sz="4" w:themeColor="accent1" w:val="single"/>
        </w:tcBorders>
      </w:tcPr>
    </w:tblStylePr>
    <w:tblStylePr w:type="band2Vert">
      <w:pPr>
        <w:snapToGrid/>
      </w:pPr>
    </w:tblStylePr>
    <w:tblStylePr w:type="band1Horz">
      <w:pPr>
        <w:snapToGrid/>
      </w:pPr>
      <w:rPr>
        <w:rFonts w:ascii="Arial" w:hAnsi="Arial"/>
        <w:color w:val="404040"/>
        <w:sz w:val="22"/>
      </w:rPr>
      <w:tblPr/>
      <w:tcPr>
        <w:tcBorders>
          <w:top w:color="4F81BD" w:space="0" w:sz="4" w:themeColor="accent1" w:val="single"/>
          <w:bottom w:color="4F81BD" w:space="0" w:sz="4" w:themeColor="accent1"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2" w:type="table">
    <w:name w:val="List Table 3 - Accent 2"/>
    <w:basedOn w:val="TableNormal"/>
    <w:uiPriority w:val="99"/>
    <w:qFormat/>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pPr>
        <w:snapToGrid/>
      </w:pPr>
      <w:rPr>
        <w:rFonts w:ascii="Arial" w:hAnsi="Arial"/>
        <w:b/>
        <w:color w:val="FFFFFF"/>
        <w:sz w:val="22"/>
      </w:rPr>
      <w:tblPr/>
      <w:tcPr>
        <w:shd w:color="FFFFFF" w:fill="D99795" w:themeFill="accent2" w:themeFillTint="97"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D99795" w:space="0" w:sz="4" w:themeColor="accent2" w:themeTint="97" w:val="single"/>
          <w:right w:color="D99795" w:space="0" w:sz="4" w:themeColor="accent2" w:themeTint="97" w:val="single"/>
        </w:tcBorders>
      </w:tcPr>
    </w:tblStylePr>
    <w:tblStylePr w:type="band2Vert">
      <w:pPr>
        <w:snapToGrid/>
      </w:pPr>
    </w:tblStylePr>
    <w:tblStylePr w:type="band1Horz">
      <w:pPr>
        <w:snapToGrid/>
      </w:pPr>
      <w:rPr>
        <w:rFonts w:ascii="Arial" w:hAnsi="Arial"/>
        <w:color w:val="404040"/>
        <w:sz w:val="22"/>
      </w:rPr>
      <w:tblPr/>
      <w:tcPr>
        <w:tcBorders>
          <w:top w:color="D99795" w:space="0" w:sz="4" w:themeColor="accent2" w:themeTint="97" w:val="single"/>
          <w:bottom w:color="D99795" w:space="0" w:sz="4" w:themeColor="accent2" w:themeTint="9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3" w:type="table">
    <w:name w:val="List Table 3 - Accent 3"/>
    <w:basedOn w:val="TableNormal"/>
    <w:uiPriority w:val="99"/>
    <w:qFormat/>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pPr>
        <w:snapToGrid/>
      </w:pPr>
      <w:rPr>
        <w:rFonts w:ascii="Arial" w:hAnsi="Arial"/>
        <w:b/>
        <w:color w:val="FFFFFF"/>
        <w:sz w:val="22"/>
      </w:rPr>
      <w:tblPr/>
      <w:tcPr>
        <w:shd w:color="FFFFFF" w:fill="C3D69C" w:themeFill="accent3" w:themeFillTint="98"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C3D69C" w:space="0" w:sz="4" w:themeColor="accent3" w:themeTint="98" w:val="single"/>
          <w:right w:color="C3D69C" w:space="0" w:sz="4" w:themeColor="accent3" w:themeTint="98" w:val="single"/>
        </w:tcBorders>
      </w:tcPr>
    </w:tblStylePr>
    <w:tblStylePr w:type="band2Vert">
      <w:pPr>
        <w:snapToGrid/>
      </w:pPr>
    </w:tblStylePr>
    <w:tblStylePr w:type="band1Horz">
      <w:pPr>
        <w:snapToGrid/>
      </w:pPr>
      <w:rPr>
        <w:rFonts w:ascii="Arial" w:hAnsi="Arial"/>
        <w:color w:val="404040"/>
        <w:sz w:val="22"/>
      </w:rPr>
      <w:tblPr/>
      <w:tcPr>
        <w:tcBorders>
          <w:top w:color="C3D69C" w:space="0" w:sz="4" w:themeColor="accent3" w:themeTint="98" w:val="single"/>
          <w:bottom w:color="C3D69C" w:space="0" w:sz="4" w:themeColor="accent3" w:themeTint="98"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4" w:type="table">
    <w:name w:val="List Table 3 - Accent 4"/>
    <w:basedOn w:val="TableNormal"/>
    <w:uiPriority w:val="99"/>
    <w:qFormat/>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pPr>
        <w:snapToGrid/>
      </w:pPr>
      <w:rPr>
        <w:rFonts w:ascii="Arial" w:hAnsi="Arial"/>
        <w:b/>
        <w:color w:val="FFFFFF"/>
        <w:sz w:val="22"/>
      </w:rPr>
      <w:tblPr/>
      <w:tcPr>
        <w:shd w:color="FFFFFF" w:fill="B2A1C6" w:themeFill="accent4" w:themeFillTint="9A"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B2A1C6" w:space="0" w:sz="4" w:themeColor="accent4" w:themeTint="9A" w:val="single"/>
          <w:right w:color="B2A1C6" w:space="0" w:sz="4" w:themeColor="accent4" w:themeTint="9A" w:val="single"/>
        </w:tcBorders>
      </w:tcPr>
    </w:tblStylePr>
    <w:tblStylePr w:type="band2Vert">
      <w:pPr>
        <w:snapToGrid/>
      </w:pPr>
    </w:tblStylePr>
    <w:tblStylePr w:type="band1Horz">
      <w:pPr>
        <w:snapToGrid/>
      </w:pPr>
      <w:rPr>
        <w:rFonts w:ascii="Arial" w:hAnsi="Arial"/>
        <w:color w:val="404040"/>
        <w:sz w:val="22"/>
      </w:rPr>
      <w:tblPr/>
      <w:tcPr>
        <w:tcBorders>
          <w:top w:color="B2A1C6" w:space="0" w:sz="4" w:themeColor="accent4" w:themeTint="9A" w:val="single"/>
          <w:bottom w:color="B2A1C6" w:space="0" w:sz="4" w:themeColor="accent4" w:themeTint="9A"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5" w:type="table">
    <w:name w:val="List Table 3 - Accent 5"/>
    <w:basedOn w:val="TableNormal"/>
    <w:uiPriority w:val="99"/>
    <w:qFormat/>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pPr>
        <w:snapToGrid/>
      </w:pPr>
      <w:rPr>
        <w:rFonts w:ascii="Arial" w:hAnsi="Arial"/>
        <w:b/>
        <w:color w:val="FFFFFF"/>
        <w:sz w:val="22"/>
      </w:rPr>
      <w:tblPr/>
      <w:tcPr>
        <w:shd w:color="FFFFFF" w:fill="92CCDC" w:themeFill="accent5" w:themeFillTint="9A"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92CCDC" w:space="0" w:sz="4" w:themeColor="accent5" w:themeTint="9A" w:val="single"/>
          <w:right w:color="92CCDC" w:space="0" w:sz="4" w:themeColor="accent5" w:themeTint="9A" w:val="single"/>
        </w:tcBorders>
      </w:tcPr>
    </w:tblStylePr>
    <w:tblStylePr w:type="band2Vert">
      <w:pPr>
        <w:snapToGrid/>
      </w:pPr>
    </w:tblStylePr>
    <w:tblStylePr w:type="band1Horz">
      <w:pPr>
        <w:snapToGrid/>
      </w:pPr>
      <w:rPr>
        <w:rFonts w:ascii="Arial" w:hAnsi="Arial"/>
        <w:color w:val="404040"/>
        <w:sz w:val="22"/>
      </w:rPr>
      <w:tblPr/>
      <w:tcPr>
        <w:tcBorders>
          <w:top w:color="92CCDC" w:space="0" w:sz="4" w:themeColor="accent5" w:themeTint="9A" w:val="single"/>
          <w:bottom w:color="92CCDC" w:space="0" w:sz="4" w:themeColor="accent5" w:themeTint="9A"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3-Accent6" w:type="table">
    <w:name w:val="List Table 3 - Accent 6"/>
    <w:basedOn w:val="TableNormal"/>
    <w:uiPriority w:val="99"/>
    <w:qFormat/>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pPr>
        <w:snapToGrid/>
      </w:pPr>
      <w:rPr>
        <w:rFonts w:ascii="Arial" w:hAnsi="Arial"/>
        <w:b/>
        <w:color w:val="FFFFFF"/>
        <w:sz w:val="22"/>
      </w:rPr>
      <w:tblPr/>
      <w:tcPr>
        <w:shd w:color="FFFFFF" w:fill="FAC090" w:themeFill="accent6" w:themeFillTint="98"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color="FAC090" w:space="0" w:sz="4" w:themeColor="accent6" w:themeTint="98" w:val="single"/>
          <w:right w:color="FAC090" w:space="0" w:sz="4" w:themeColor="accent6" w:themeTint="98" w:val="single"/>
        </w:tcBorders>
      </w:tcPr>
    </w:tblStylePr>
    <w:tblStylePr w:type="band2Vert">
      <w:pPr>
        <w:snapToGrid/>
      </w:pPr>
    </w:tblStylePr>
    <w:tblStylePr w:type="band1Horz">
      <w:pPr>
        <w:snapToGrid/>
      </w:pPr>
      <w:rPr>
        <w:rFonts w:ascii="Arial" w:hAnsi="Arial"/>
        <w:color w:val="404040"/>
        <w:sz w:val="22"/>
      </w:rPr>
      <w:tblPr/>
      <w:tcPr>
        <w:tcBorders>
          <w:top w:color="FAC090" w:space="0" w:sz="4" w:themeColor="accent6" w:themeTint="98" w:val="single"/>
          <w:bottom w:color="FAC090" w:space="0" w:sz="4" w:themeColor="accent6" w:themeTint="98"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411" w:type="table">
    <w:name w:val="清单表 41"/>
    <w:basedOn w:val="TableNormal"/>
    <w:uiPriority w:val="99"/>
    <w:qFormat/>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pPr>
        <w:snapToGrid/>
      </w:pPr>
      <w:rPr>
        <w:rFonts w:ascii="Arial" w:hAnsi="Arial"/>
        <w:b/>
        <w:color w:val="FFFFFF"/>
        <w:sz w:val="22"/>
      </w:rPr>
      <w:tblPr/>
      <w:tcPr>
        <w:shd w:color="FFFFFF" w:fill="000000" w:themeFill="text1"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BEBEBE" w:themeFill="text1" w:themeFillTint="40" w:val="clear"/>
      </w:tcPr>
    </w:tblStylePr>
    <w:tblStylePr w:type="band2Vert">
      <w:pPr>
        <w:snapToGrid/>
      </w:pPr>
    </w:tblStylePr>
    <w:tblStylePr w:type="band1Horz">
      <w:pPr>
        <w:snapToGrid/>
      </w:pPr>
      <w:rPr>
        <w:rFonts w:ascii="Arial" w:hAnsi="Arial"/>
        <w:color w:val="404040"/>
        <w:sz w:val="22"/>
      </w:rPr>
      <w:tblPr/>
      <w:tcPr>
        <w:shd w:color="FFFFFF" w:fill="BEBEBE" w:themeFill="tex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1" w:type="table">
    <w:name w:val="List Table 4 - Accent 1"/>
    <w:basedOn w:val="TableNormal"/>
    <w:uiPriority w:val="99"/>
    <w:qFormat/>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pPr>
        <w:snapToGrid/>
      </w:pPr>
      <w:rPr>
        <w:rFonts w:ascii="Arial" w:hAnsi="Arial"/>
        <w:b/>
        <w:color w:val="FFFFFF"/>
        <w:sz w:val="22"/>
      </w:rPr>
      <w:tblPr/>
      <w:tcPr>
        <w:shd w:color="FFFFFF" w:fill="4F81BD" w:themeFill="accent1"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2DFEE" w:themeFill="accent1" w:themeFillTint="40" w:val="clear"/>
      </w:tcPr>
    </w:tblStylePr>
    <w:tblStylePr w:type="band2Vert">
      <w:pPr>
        <w:snapToGrid/>
      </w:pPr>
    </w:tblStylePr>
    <w:tblStylePr w:type="band1Horz">
      <w:pPr>
        <w:snapToGrid/>
      </w:pPr>
      <w:rPr>
        <w:rFonts w:ascii="Arial" w:hAnsi="Arial"/>
        <w:color w:val="404040"/>
        <w:sz w:val="22"/>
      </w:rPr>
      <w:tblPr/>
      <w:tcPr>
        <w:shd w:color="FFFFFF" w:fill="D2DFEE" w:themeFill="accent1"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2" w:type="table">
    <w:name w:val="List Table 4 - Accent 2"/>
    <w:basedOn w:val="TableNormal"/>
    <w:uiPriority w:val="99"/>
    <w:qFormat/>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pPr>
        <w:snapToGrid/>
      </w:pPr>
      <w:rPr>
        <w:rFonts w:ascii="Arial" w:hAnsi="Arial"/>
        <w:b/>
        <w:color w:val="FFFFFF"/>
        <w:sz w:val="22"/>
      </w:rPr>
      <w:tblPr/>
      <w:tcPr>
        <w:shd w:color="FFFFFF" w:fill="C0504D" w:themeFill="accent2"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FD3D2" w:themeFill="accent2" w:themeFillTint="40" w:val="clear"/>
      </w:tcPr>
    </w:tblStylePr>
    <w:tblStylePr w:type="band2Vert">
      <w:pPr>
        <w:snapToGrid/>
      </w:pPr>
    </w:tblStylePr>
    <w:tblStylePr w:type="band1Horz">
      <w:pPr>
        <w:snapToGrid/>
      </w:pPr>
      <w:rPr>
        <w:rFonts w:ascii="Arial" w:hAnsi="Arial"/>
        <w:color w:val="404040"/>
        <w:sz w:val="22"/>
      </w:rPr>
      <w:tblPr/>
      <w:tcPr>
        <w:shd w:color="FFFFFF" w:fill="EFD3D2" w:themeFill="accent2"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3" w:type="table">
    <w:name w:val="List Table 4 - Accent 3"/>
    <w:basedOn w:val="TableNormal"/>
    <w:uiPriority w:val="99"/>
    <w:qFormat/>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pPr>
        <w:snapToGrid/>
      </w:pPr>
      <w:rPr>
        <w:rFonts w:ascii="Arial" w:hAnsi="Arial"/>
        <w:b/>
        <w:color w:val="FFFFFF"/>
        <w:sz w:val="22"/>
      </w:rPr>
      <w:tblPr/>
      <w:tcPr>
        <w:shd w:color="FFFFFF" w:fill="9BBB59" w:themeFill="accent3"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E5EDD5" w:themeFill="accent3" w:themeFillTint="40" w:val="clear"/>
      </w:tcPr>
    </w:tblStylePr>
    <w:tblStylePr w:type="band2Vert">
      <w:pPr>
        <w:snapToGrid/>
      </w:pPr>
    </w:tblStylePr>
    <w:tblStylePr w:type="band1Horz">
      <w:pPr>
        <w:snapToGrid/>
      </w:pPr>
      <w:rPr>
        <w:rFonts w:ascii="Arial" w:hAnsi="Arial"/>
        <w:color w:val="404040"/>
        <w:sz w:val="22"/>
      </w:rPr>
      <w:tblPr/>
      <w:tcPr>
        <w:shd w:color="FFFFFF" w:fill="E5EDD5" w:themeFill="accent3"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4" w:type="table">
    <w:name w:val="List Table 4 - Accent 4"/>
    <w:basedOn w:val="TableNormal"/>
    <w:uiPriority w:val="99"/>
    <w:qFormat/>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pPr>
        <w:snapToGrid/>
      </w:pPr>
      <w:rPr>
        <w:rFonts w:ascii="Arial" w:hAnsi="Arial"/>
        <w:b/>
        <w:color w:val="FFFFFF"/>
        <w:sz w:val="22"/>
      </w:rPr>
      <w:tblPr/>
      <w:tcPr>
        <w:shd w:color="FFFFFF" w:fill="8064A2" w:themeFill="accent4"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FD8E7" w:themeFill="accent4" w:themeFillTint="40" w:val="clear"/>
      </w:tcPr>
    </w:tblStylePr>
    <w:tblStylePr w:type="band2Vert">
      <w:pPr>
        <w:snapToGrid/>
      </w:pPr>
    </w:tblStylePr>
    <w:tblStylePr w:type="band1Horz">
      <w:pPr>
        <w:snapToGrid/>
      </w:pPr>
      <w:rPr>
        <w:rFonts w:ascii="Arial" w:hAnsi="Arial"/>
        <w:color w:val="404040"/>
        <w:sz w:val="22"/>
      </w:rPr>
      <w:tblPr/>
      <w:tcPr>
        <w:shd w:color="FFFFFF" w:fill="DFD8E7" w:themeFill="accent4"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5" w:type="table">
    <w:name w:val="List Table 4 - Accent 5"/>
    <w:basedOn w:val="TableNormal"/>
    <w:uiPriority w:val="99"/>
    <w:qFormat/>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pPr>
        <w:snapToGrid/>
      </w:pPr>
      <w:rPr>
        <w:rFonts w:ascii="Arial" w:hAnsi="Arial"/>
        <w:b/>
        <w:color w:val="FFFFFF"/>
        <w:sz w:val="22"/>
      </w:rPr>
      <w:tblPr/>
      <w:tcPr>
        <w:shd w:color="FFFFFF" w:fill="4BACC6" w:themeFill="accent5"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D1EAF0" w:themeFill="accent5" w:themeFillTint="40" w:val="clear"/>
      </w:tcPr>
    </w:tblStylePr>
    <w:tblStylePr w:type="band2Vert">
      <w:pPr>
        <w:snapToGrid/>
      </w:pPr>
    </w:tblStylePr>
    <w:tblStylePr w:type="band1Horz">
      <w:pPr>
        <w:snapToGrid/>
      </w:pPr>
      <w:rPr>
        <w:rFonts w:ascii="Arial" w:hAnsi="Arial"/>
        <w:color w:val="404040"/>
        <w:sz w:val="22"/>
      </w:rPr>
      <w:tblPr/>
      <w:tcPr>
        <w:shd w:color="FFFFFF" w:fill="D1EAF0" w:themeFill="accent5"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4-Accent6" w:type="table">
    <w:name w:val="List Table 4 - Accent 6"/>
    <w:basedOn w:val="TableNormal"/>
    <w:uiPriority w:val="99"/>
    <w:qFormat/>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pPr>
        <w:snapToGrid/>
      </w:pPr>
      <w:rPr>
        <w:rFonts w:ascii="Arial" w:hAnsi="Arial"/>
        <w:b/>
        <w:color w:val="FFFFFF"/>
        <w:sz w:val="22"/>
      </w:rPr>
      <w:tblPr/>
      <w:tcPr>
        <w:shd w:color="FFFFFF" w:fill="F79646" w:themeFill="accent6" w:val="clear"/>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color="FFFFFF" w:fill="FCE4D0" w:themeFill="accent6" w:themeFillTint="40" w:val="clear"/>
      </w:tcPr>
    </w:tblStylePr>
    <w:tblStylePr w:type="band2Vert">
      <w:pPr>
        <w:snapToGrid/>
      </w:pPr>
    </w:tblStylePr>
    <w:tblStylePr w:type="band1Horz">
      <w:pPr>
        <w:snapToGrid/>
      </w:pPr>
      <w:rPr>
        <w:rFonts w:ascii="Arial" w:hAnsi="Arial"/>
        <w:color w:val="404040"/>
        <w:sz w:val="22"/>
      </w:rPr>
      <w:tblPr/>
      <w:tcPr>
        <w:shd w:color="FFFFFF" w:fill="FCE4D0" w:themeFill="accent6" w:themeFillTint="40" w:val="clear"/>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511" w:type="table">
    <w:name w:val="清单表 5 深色1"/>
    <w:basedOn w:val="TableNormal"/>
    <w:uiPriority w:val="99"/>
    <w:qFormat/>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pPr>
        <w:snapToGrid/>
      </w:pPr>
      <w:rPr>
        <w:rFonts w:ascii="Arial" w:hAnsi="Arial"/>
        <w:b/>
        <w:color w:themeColor="light1" w:val="FFFFFF"/>
        <w:sz w:val="22"/>
        <w14:textFill>
          <w14:solidFill>
            <w14:schemeClr w14:val="lt1"/>
          </w14:solidFill>
        </w14:textFill>
      </w:rPr>
      <w:tblPr/>
      <w:tcPr>
        <w:tcBorders>
          <w:top w:color="7E7E7E" w:space="0" w:sz="32" w:themeColor="text1" w:themeTint="80" w:val="single"/>
          <w:bottom w:color="FFFFFF" w:space="0" w:sz="12" w:themeColor="light1" w:val="single"/>
        </w:tcBorders>
        <w:shd w:color="FFFFFF" w:fill="7E7E7E" w:themeFill="text1" w:themeFillTint="80"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7E7E7E" w:space="0" w:sz="32" w:themeColor="text1" w:themeTint="80" w:val="single"/>
          <w:right w:color="FFFFFF" w:space="0" w:sz="4" w:themeColor="light1" w:val="single"/>
        </w:tcBorders>
      </w:tcPr>
    </w:tblStylePr>
    <w:tblStylePr w:type="lastCol">
      <w:pPr>
        <w:snapToGrid/>
      </w:pPr>
      <w:tblPr/>
      <w:tcPr>
        <w:tcBorders>
          <w:left w:color="FFFFFF" w:space="0" w:sz="4" w:themeColor="light1" w:val="single"/>
          <w:right w:color="7E7E7E" w:space="0" w:sz="32" w:themeColor="text1" w:themeTint="80" w:val="single"/>
        </w:tcBorders>
      </w:tcPr>
    </w:tblStylePr>
    <w:tblStylePr w:type="band1Vert">
      <w:pPr>
        <w:snapToGrid/>
      </w:pPr>
      <w:tblPr/>
      <w:tcPr>
        <w:tcBorders>
          <w:left w:color="FFFFFF" w:space="0" w:sz="4" w:themeColor="light1" w:val="single"/>
          <w:right w:color="FFFFFF" w:space="0" w:sz="4" w:themeColor="light1" w:val="single"/>
        </w:tcBorders>
        <w:shd w:color="FFFFFF" w:fill="7E7E7E" w:themeFill="text1" w:themeFillTint="80"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7E7E7E" w:themeFill="text1" w:themeFillTint="80" w:val="clear"/>
      </w:tcPr>
    </w:tblStylePr>
    <w:tblStylePr w:type="band2Horz">
      <w:pPr>
        <w:snapToGrid/>
      </w:pPr>
      <w:tblPr/>
      <w:tcPr>
        <w:tcBorders>
          <w:top w:color="FFFFFF" w:space="0" w:sz="4" w:themeColor="light1" w:val="single"/>
          <w:bottom w:color="FFFFFF" w:space="0" w:sz="4" w:themeColor="light1" w:val="single"/>
        </w:tcBorders>
        <w:shd w:color="FFFFFF" w:fill="7E7E7E" w:themeFill="text1" w:themeFillTint="80"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1" w:type="table">
    <w:name w:val="List Table 5 Dark - Accent 1"/>
    <w:basedOn w:val="TableNormal"/>
    <w:uiPriority w:val="99"/>
    <w:qFormat/>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pPr>
        <w:snapToGrid/>
      </w:pPr>
      <w:rPr>
        <w:rFonts w:ascii="Arial" w:hAnsi="Arial"/>
        <w:b/>
        <w:color w:themeColor="light1" w:val="FFFFFF"/>
        <w:sz w:val="22"/>
        <w14:textFill>
          <w14:solidFill>
            <w14:schemeClr w14:val="lt1"/>
          </w14:solidFill>
        </w14:textFill>
      </w:rPr>
      <w:tblPr/>
      <w:tcPr>
        <w:tcBorders>
          <w:top w:color="4F81BD" w:space="0" w:sz="32" w:themeColor="accent1" w:val="single"/>
          <w:bottom w:color="FFFFFF" w:space="0" w:sz="12" w:themeColor="light1" w:val="single"/>
        </w:tcBorders>
        <w:shd w:color="FFFFFF" w:fill="4F81BD" w:themeFill="accent1"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4F81BD" w:space="0" w:sz="32" w:themeColor="accent1" w:val="single"/>
          <w:right w:color="FFFFFF" w:space="0" w:sz="4" w:themeColor="light1" w:val="single"/>
        </w:tcBorders>
      </w:tcPr>
    </w:tblStylePr>
    <w:tblStylePr w:type="lastCol">
      <w:pPr>
        <w:snapToGrid/>
      </w:pPr>
      <w:tblPr/>
      <w:tcPr>
        <w:tcBorders>
          <w:left w:color="FFFFFF" w:space="0" w:sz="4" w:themeColor="light1" w:val="single"/>
          <w:right w:color="4F81BD" w:space="0" w:sz="32" w:themeColor="accent1" w:val="single"/>
        </w:tcBorders>
      </w:tcPr>
    </w:tblStylePr>
    <w:tblStylePr w:type="band1Vert">
      <w:pPr>
        <w:snapToGrid/>
      </w:pPr>
      <w:tblPr/>
      <w:tcPr>
        <w:tcBorders>
          <w:left w:color="FFFFFF" w:space="0" w:sz="4" w:themeColor="light1" w:val="single"/>
          <w:right w:color="FFFFFF" w:space="0" w:sz="4" w:themeColor="light1" w:val="single"/>
        </w:tcBorders>
        <w:shd w:color="FFFFFF" w:fill="4F81BD" w:themeFill="accent1"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4F81BD" w:themeFill="accent1" w:val="clear"/>
      </w:tcPr>
    </w:tblStylePr>
    <w:tblStylePr w:type="band2Horz">
      <w:pPr>
        <w:snapToGrid/>
      </w:pPr>
      <w:tblPr/>
      <w:tcPr>
        <w:tcBorders>
          <w:top w:color="FFFFFF" w:space="0" w:sz="4" w:themeColor="light1" w:val="single"/>
          <w:bottom w:color="FFFFFF" w:space="0" w:sz="4" w:themeColor="light1" w:val="single"/>
        </w:tcBorders>
        <w:shd w:color="FFFFFF" w:fill="4F81BD" w:themeFill="accent1"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2" w:type="table">
    <w:name w:val="List Table 5 Dark - Accent 2"/>
    <w:basedOn w:val="TableNormal"/>
    <w:uiPriority w:val="99"/>
    <w:qFormat/>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pPr>
        <w:snapToGrid/>
      </w:pPr>
      <w:rPr>
        <w:rFonts w:ascii="Arial" w:hAnsi="Arial"/>
        <w:b/>
        <w:color w:themeColor="light1" w:val="FFFFFF"/>
        <w:sz w:val="22"/>
        <w14:textFill>
          <w14:solidFill>
            <w14:schemeClr w14:val="lt1"/>
          </w14:solidFill>
        </w14:textFill>
      </w:rPr>
      <w:tblPr/>
      <w:tcPr>
        <w:tcBorders>
          <w:top w:color="D99795" w:space="0" w:sz="32" w:themeColor="accent2" w:themeTint="97" w:val="single"/>
          <w:bottom w:color="FFFFFF" w:space="0" w:sz="12" w:themeColor="light1" w:val="single"/>
        </w:tcBorders>
        <w:shd w:color="FFFFFF" w:fill="D99795" w:themeFill="accent2" w:themeFillTint="97"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D99795" w:space="0" w:sz="32" w:themeColor="accent2" w:themeTint="97" w:val="single"/>
          <w:right w:color="FFFFFF" w:space="0" w:sz="4" w:themeColor="light1" w:val="single"/>
        </w:tcBorders>
      </w:tcPr>
    </w:tblStylePr>
    <w:tblStylePr w:type="lastCol">
      <w:pPr>
        <w:snapToGrid/>
      </w:pPr>
      <w:tblPr/>
      <w:tcPr>
        <w:tcBorders>
          <w:left w:color="FFFFFF" w:space="0" w:sz="4" w:themeColor="light1" w:val="single"/>
          <w:right w:color="D99795" w:space="0" w:sz="32" w:themeColor="accent2" w:themeTint="97" w:val="single"/>
        </w:tcBorders>
      </w:tcPr>
    </w:tblStylePr>
    <w:tblStylePr w:type="band1Vert">
      <w:pPr>
        <w:snapToGrid/>
      </w:pPr>
      <w:tblPr/>
      <w:tcPr>
        <w:tcBorders>
          <w:left w:color="FFFFFF" w:space="0" w:sz="4" w:themeColor="light1" w:val="single"/>
          <w:right w:color="FFFFFF" w:space="0" w:sz="4" w:themeColor="light1" w:val="single"/>
        </w:tcBorders>
        <w:shd w:color="FFFFFF" w:fill="D99795" w:themeFill="accent2" w:themeFillTint="97"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D99795" w:themeFill="accent2" w:themeFillTint="97" w:val="clear"/>
      </w:tcPr>
    </w:tblStylePr>
    <w:tblStylePr w:type="band2Horz">
      <w:pPr>
        <w:snapToGrid/>
      </w:pPr>
      <w:tblPr/>
      <w:tcPr>
        <w:tcBorders>
          <w:top w:color="FFFFFF" w:space="0" w:sz="4" w:themeColor="light1" w:val="single"/>
          <w:bottom w:color="FFFFFF" w:space="0" w:sz="4" w:themeColor="light1" w:val="single"/>
        </w:tcBorders>
        <w:shd w:color="FFFFFF" w:fill="D99795" w:themeFill="accent2" w:themeFillTint="97"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3" w:type="table">
    <w:name w:val="List Table 5 Dark - Accent 3"/>
    <w:basedOn w:val="TableNormal"/>
    <w:uiPriority w:val="99"/>
    <w:qFormat/>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pPr>
        <w:snapToGrid/>
      </w:pPr>
      <w:rPr>
        <w:rFonts w:ascii="Arial" w:hAnsi="Arial"/>
        <w:b/>
        <w:color w:themeColor="light1" w:val="FFFFFF"/>
        <w:sz w:val="22"/>
        <w14:textFill>
          <w14:solidFill>
            <w14:schemeClr w14:val="lt1"/>
          </w14:solidFill>
        </w14:textFill>
      </w:rPr>
      <w:tblPr/>
      <w:tcPr>
        <w:tcBorders>
          <w:top w:color="C3D69C" w:space="0" w:sz="32" w:themeColor="accent3" w:themeTint="98" w:val="single"/>
          <w:bottom w:color="FFFFFF" w:space="0" w:sz="12" w:themeColor="light1" w:val="single"/>
        </w:tcBorders>
        <w:shd w:color="FFFFFF" w:fill="C3D69C" w:themeFill="accent3" w:themeFillTint="98"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C3D69C" w:space="0" w:sz="32" w:themeColor="accent3" w:themeTint="98" w:val="single"/>
          <w:right w:color="FFFFFF" w:space="0" w:sz="4" w:themeColor="light1" w:val="single"/>
        </w:tcBorders>
      </w:tcPr>
    </w:tblStylePr>
    <w:tblStylePr w:type="lastCol">
      <w:pPr>
        <w:snapToGrid/>
      </w:pPr>
      <w:tblPr/>
      <w:tcPr>
        <w:tcBorders>
          <w:left w:color="FFFFFF" w:space="0" w:sz="4" w:themeColor="light1" w:val="single"/>
          <w:right w:color="C3D69C" w:space="0" w:sz="32" w:themeColor="accent3" w:themeTint="98" w:val="single"/>
        </w:tcBorders>
      </w:tcPr>
    </w:tblStylePr>
    <w:tblStylePr w:type="band1Vert">
      <w:pPr>
        <w:snapToGrid/>
      </w:pPr>
      <w:tblPr/>
      <w:tcPr>
        <w:tcBorders>
          <w:left w:color="FFFFFF" w:space="0" w:sz="4" w:themeColor="light1" w:val="single"/>
          <w:right w:color="FFFFFF" w:space="0" w:sz="4" w:themeColor="light1" w:val="single"/>
        </w:tcBorders>
        <w:shd w:color="FFFFFF" w:fill="C3D69C" w:themeFill="accent3" w:themeFillTint="98"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C3D69C" w:themeFill="accent3" w:themeFillTint="98" w:val="clear"/>
      </w:tcPr>
    </w:tblStylePr>
    <w:tblStylePr w:type="band2Horz">
      <w:pPr>
        <w:snapToGrid/>
      </w:pPr>
      <w:tblPr/>
      <w:tcPr>
        <w:tcBorders>
          <w:top w:color="FFFFFF" w:space="0" w:sz="4" w:themeColor="light1" w:val="single"/>
          <w:bottom w:color="FFFFFF" w:space="0" w:sz="4" w:themeColor="light1" w:val="single"/>
        </w:tcBorders>
        <w:shd w:color="FFFFFF" w:fill="C3D69C" w:themeFill="accent3" w:themeFillTint="98"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4" w:type="table">
    <w:name w:val="List Table 5 Dark - Accent 4"/>
    <w:basedOn w:val="TableNormal"/>
    <w:uiPriority w:val="99"/>
    <w:qFormat/>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pPr>
        <w:snapToGrid/>
      </w:pPr>
      <w:rPr>
        <w:rFonts w:ascii="Arial" w:hAnsi="Arial"/>
        <w:b/>
        <w:color w:themeColor="light1" w:val="FFFFFF"/>
        <w:sz w:val="22"/>
        <w14:textFill>
          <w14:solidFill>
            <w14:schemeClr w14:val="lt1"/>
          </w14:solidFill>
        </w14:textFill>
      </w:rPr>
      <w:tblPr/>
      <w:tcPr>
        <w:tcBorders>
          <w:top w:color="B2A1C6" w:space="0" w:sz="32" w:themeColor="accent4" w:themeTint="9A" w:val="single"/>
          <w:bottom w:color="FFFFFF" w:space="0" w:sz="12" w:themeColor="light1" w:val="single"/>
        </w:tcBorders>
        <w:shd w:color="FFFFFF" w:fill="B2A1C6" w:themeFill="accent4" w:themeFillTint="9A"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B2A1C6" w:space="0" w:sz="32" w:themeColor="accent4" w:themeTint="9A" w:val="single"/>
          <w:right w:color="FFFFFF" w:space="0" w:sz="4" w:themeColor="light1" w:val="single"/>
        </w:tcBorders>
      </w:tcPr>
    </w:tblStylePr>
    <w:tblStylePr w:type="lastCol">
      <w:pPr>
        <w:snapToGrid/>
      </w:pPr>
      <w:tblPr/>
      <w:tcPr>
        <w:tcBorders>
          <w:left w:color="FFFFFF" w:space="0" w:sz="4" w:themeColor="light1" w:val="single"/>
          <w:right w:color="B2A1C6" w:space="0" w:sz="32" w:themeColor="accent4" w:themeTint="9A" w:val="single"/>
        </w:tcBorders>
      </w:tcPr>
    </w:tblStylePr>
    <w:tblStylePr w:type="band1Vert">
      <w:pPr>
        <w:snapToGrid/>
      </w:pPr>
      <w:tblPr/>
      <w:tcPr>
        <w:tcBorders>
          <w:left w:color="FFFFFF" w:space="0" w:sz="4" w:themeColor="light1" w:val="single"/>
          <w:right w:color="FFFFFF" w:space="0" w:sz="4" w:themeColor="light1" w:val="single"/>
        </w:tcBorders>
        <w:shd w:color="FFFFFF" w:fill="B2A1C6" w:themeFill="accent4" w:themeFillTint="9A"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B2A1C6" w:themeFill="accent4" w:themeFillTint="9A" w:val="clear"/>
      </w:tcPr>
    </w:tblStylePr>
    <w:tblStylePr w:type="band2Horz">
      <w:pPr>
        <w:snapToGrid/>
      </w:pPr>
      <w:tblPr/>
      <w:tcPr>
        <w:tcBorders>
          <w:top w:color="FFFFFF" w:space="0" w:sz="4" w:themeColor="light1" w:val="single"/>
          <w:bottom w:color="FFFFFF" w:space="0" w:sz="4" w:themeColor="light1" w:val="single"/>
        </w:tcBorders>
        <w:shd w:color="FFFFFF" w:fill="B2A1C6" w:themeFill="accent4" w:themeFillTint="9A"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5" w:type="table">
    <w:name w:val="List Table 5 Dark - Accent 5"/>
    <w:basedOn w:val="TableNormal"/>
    <w:uiPriority w:val="99"/>
    <w:qFormat/>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pPr>
        <w:snapToGrid/>
      </w:pPr>
      <w:rPr>
        <w:rFonts w:ascii="Arial" w:hAnsi="Arial"/>
        <w:b/>
        <w:color w:themeColor="light1" w:val="FFFFFF"/>
        <w:sz w:val="22"/>
        <w14:textFill>
          <w14:solidFill>
            <w14:schemeClr w14:val="lt1"/>
          </w14:solidFill>
        </w14:textFill>
      </w:rPr>
      <w:tblPr/>
      <w:tcPr>
        <w:tcBorders>
          <w:top w:color="92CCDC" w:space="0" w:sz="32" w:themeColor="accent5" w:themeTint="9A" w:val="single"/>
          <w:bottom w:color="FFFFFF" w:space="0" w:sz="12" w:themeColor="light1" w:val="single"/>
        </w:tcBorders>
        <w:shd w:color="FFFFFF" w:fill="92CCDC" w:themeFill="accent5" w:themeFillTint="9A"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92CCDC" w:space="0" w:sz="32" w:themeColor="accent5" w:themeTint="9A" w:val="single"/>
          <w:right w:color="FFFFFF" w:space="0" w:sz="4" w:themeColor="light1" w:val="single"/>
        </w:tcBorders>
      </w:tcPr>
    </w:tblStylePr>
    <w:tblStylePr w:type="lastCol">
      <w:pPr>
        <w:snapToGrid/>
      </w:pPr>
      <w:tblPr/>
      <w:tcPr>
        <w:tcBorders>
          <w:left w:color="FFFFFF" w:space="0" w:sz="4" w:themeColor="light1" w:val="single"/>
          <w:right w:color="92CCDC" w:space="0" w:sz="32" w:themeColor="accent5" w:themeTint="9A" w:val="single"/>
        </w:tcBorders>
      </w:tcPr>
    </w:tblStylePr>
    <w:tblStylePr w:type="band1Vert">
      <w:pPr>
        <w:snapToGrid/>
      </w:pPr>
      <w:tblPr/>
      <w:tcPr>
        <w:tcBorders>
          <w:left w:color="FFFFFF" w:space="0" w:sz="4" w:themeColor="light1" w:val="single"/>
          <w:right w:color="FFFFFF" w:space="0" w:sz="4" w:themeColor="light1" w:val="single"/>
        </w:tcBorders>
        <w:shd w:color="FFFFFF" w:fill="92CCDC" w:themeFill="accent5" w:themeFillTint="9A"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92CCDC" w:themeFill="accent5" w:themeFillTint="9A" w:val="clear"/>
      </w:tcPr>
    </w:tblStylePr>
    <w:tblStylePr w:type="band2Horz">
      <w:pPr>
        <w:snapToGrid/>
      </w:pPr>
      <w:tblPr/>
      <w:tcPr>
        <w:tcBorders>
          <w:top w:color="FFFFFF" w:space="0" w:sz="4" w:themeColor="light1" w:val="single"/>
          <w:bottom w:color="FFFFFF" w:space="0" w:sz="4" w:themeColor="light1" w:val="single"/>
        </w:tcBorders>
        <w:shd w:color="FFFFFF" w:fill="92CCDC" w:themeFill="accent5" w:themeFillTint="9A"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5Dark-Accent6" w:type="table">
    <w:name w:val="List Table 5 Dark - Accent 6"/>
    <w:basedOn w:val="TableNormal"/>
    <w:uiPriority w:val="99"/>
    <w:qFormat/>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pPr>
        <w:snapToGrid/>
      </w:pPr>
      <w:rPr>
        <w:rFonts w:ascii="Arial" w:hAnsi="Arial"/>
        <w:b/>
        <w:color w:themeColor="light1" w:val="FFFFFF"/>
        <w:sz w:val="22"/>
        <w14:textFill>
          <w14:solidFill>
            <w14:schemeClr w14:val="lt1"/>
          </w14:solidFill>
        </w14:textFill>
      </w:rPr>
      <w:tblPr/>
      <w:tcPr>
        <w:tcBorders>
          <w:top w:color="FAC090" w:space="0" w:sz="32" w:themeColor="accent6" w:themeTint="98" w:val="single"/>
          <w:bottom w:color="FFFFFF" w:space="0" w:sz="12" w:themeColor="light1" w:val="single"/>
        </w:tcBorders>
        <w:shd w:color="FFFFFF" w:fill="FAC090" w:themeFill="accent6" w:themeFillTint="98" w:val="clear"/>
      </w:tcPr>
    </w:tblStylePr>
    <w:tblStylePr w:type="lastRow">
      <w:pPr>
        <w:snapToGrid/>
      </w:pPr>
      <w:rPr>
        <w:rFonts w:ascii="Arial" w:hAnsi="Arial"/>
        <w:b/>
        <w:color w:themeColor="light1" w:val="FFFFFF"/>
        <w:sz w:val="22"/>
        <w14:textFill>
          <w14:solidFill>
            <w14:schemeClr w14:val="lt1"/>
          </w14:solidFill>
        </w14:textFill>
      </w:rPr>
    </w:tblStylePr>
    <w:tblStylePr w:type="firstCol">
      <w:pPr>
        <w:snapToGrid/>
      </w:pPr>
      <w:rPr>
        <w:rFonts w:ascii="Arial" w:hAnsi="Arial"/>
        <w:b/>
        <w:color w:themeColor="light1" w:val="FFFFFF"/>
        <w:sz w:val="22"/>
        <w14:textFill>
          <w14:solidFill>
            <w14:schemeClr w14:val="lt1"/>
          </w14:solidFill>
        </w14:textFill>
      </w:rPr>
      <w:tblPr/>
      <w:tcPr>
        <w:tcBorders>
          <w:left w:color="FAC090" w:space="0" w:sz="32" w:themeColor="accent6" w:themeTint="98" w:val="single"/>
          <w:right w:color="FFFFFF" w:space="0" w:sz="4" w:themeColor="light1" w:val="single"/>
        </w:tcBorders>
      </w:tcPr>
    </w:tblStylePr>
    <w:tblStylePr w:type="lastCol">
      <w:pPr>
        <w:snapToGrid/>
      </w:pPr>
      <w:tblPr/>
      <w:tcPr>
        <w:tcBorders>
          <w:left w:color="FFFFFF" w:space="0" w:sz="4" w:themeColor="light1" w:val="single"/>
          <w:right w:color="FAC090" w:space="0" w:sz="32" w:themeColor="accent6" w:themeTint="98" w:val="single"/>
        </w:tcBorders>
      </w:tcPr>
    </w:tblStylePr>
    <w:tblStylePr w:type="band1Vert">
      <w:pPr>
        <w:snapToGrid/>
      </w:pPr>
      <w:tblPr/>
      <w:tcPr>
        <w:tcBorders>
          <w:left w:color="FFFFFF" w:space="0" w:sz="4" w:themeColor="light1" w:val="single"/>
          <w:right w:color="FFFFFF" w:space="0" w:sz="4" w:themeColor="light1" w:val="single"/>
        </w:tcBorders>
        <w:shd w:color="FFFFFF" w:fill="FAC090" w:themeFill="accent6" w:themeFillTint="98" w:val="clear"/>
      </w:tcPr>
    </w:tblStylePr>
    <w:tblStylePr w:type="band2Vert">
      <w:pPr>
        <w:snapToGrid/>
      </w:pPr>
      <w:tblPr/>
      <w:tcPr>
        <w:tcBorders>
          <w:left w:color="FFFFFF" w:space="0" w:sz="4" w:themeColor="light1" w:val="single"/>
          <w:right w:color="FFFFFF" w:space="0" w:sz="4" w:themeColor="light1" w:val="single"/>
        </w:tcBorders>
      </w:tcPr>
    </w:tblStylePr>
    <w:tblStylePr w:type="band1Horz">
      <w:pPr>
        <w:snapToGrid/>
      </w:pPr>
      <w:tblPr/>
      <w:tcPr>
        <w:tcBorders>
          <w:top w:color="FFFFFF" w:space="0" w:sz="4" w:themeColor="light1" w:val="single"/>
          <w:bottom w:color="FFFFFF" w:space="0" w:sz="4" w:themeColor="light1" w:val="single"/>
        </w:tcBorders>
        <w:shd w:color="FFFFFF" w:fill="FAC090" w:themeFill="accent6" w:themeFillTint="98" w:val="clear"/>
      </w:tcPr>
    </w:tblStylePr>
    <w:tblStylePr w:type="band2Horz">
      <w:pPr>
        <w:snapToGrid/>
      </w:pPr>
      <w:tblPr/>
      <w:tcPr>
        <w:tcBorders>
          <w:top w:color="FFFFFF" w:space="0" w:sz="4" w:themeColor="light1" w:val="single"/>
          <w:bottom w:color="FFFFFF" w:space="0" w:sz="4" w:themeColor="light1" w:val="single"/>
        </w:tcBorders>
        <w:shd w:color="FFFFFF" w:fill="FAC090" w:themeFill="accent6" w:themeFillTint="98"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610" w:type="table">
    <w:name w:val="清单表 6 彩色1"/>
    <w:basedOn w:val="TableNormal"/>
    <w:uiPriority w:val="99"/>
    <w:qFormat/>
    <w:tblPr>
      <w:tblBorders>
        <w:top w:color="7E7E7E" w:space="0" w:sz="4" w:themeColor="text1" w:themeTint="80" w:val="single"/>
        <w:bottom w:color="7E7E7E" w:space="0" w:sz="4" w:themeColor="text1" w:themeTint="80" w:val="single"/>
      </w:tblBorders>
    </w:tblPr>
    <w:tblStylePr w:type="firstRow">
      <w:pPr>
        <w:snapToGrid/>
      </w:pPr>
      <w:rPr>
        <w:b/>
        <w:color w:themeColor="text1" w:val="000000"/>
        <w14:textFill>
          <w14:solidFill>
            <w14:schemeClr w14:val="tx1"/>
          </w14:solidFill>
        </w14:textFill>
      </w:rPr>
      <w:tblPr/>
      <w:tcPr>
        <w:tcBorders>
          <w:bottom w:color="7E7E7E" w:space="0" w:sz="4" w:themeColor="text1" w:themeTint="80" w:val="single"/>
        </w:tcBorders>
      </w:tcPr>
    </w:tblStylePr>
    <w:tblStylePr w:type="lastRow">
      <w:pPr>
        <w:snapToGrid/>
      </w:pPr>
      <w:rPr>
        <w:b/>
        <w:color w:themeColor="text1" w:val="000000"/>
        <w14:textFill>
          <w14:solidFill>
            <w14:schemeClr w14:val="tx1"/>
          </w14:solidFill>
        </w14:textFill>
      </w:rPr>
      <w:tblPr/>
      <w:tcPr>
        <w:tcBorders>
          <w:top w:color="7E7E7E" w:space="0" w:sz="4" w:themeColor="text1" w:themeTint="80" w:val="single"/>
        </w:tcBorders>
      </w:tcPr>
    </w:tblStylePr>
    <w:tblStylePr w:type="firstCol">
      <w:pPr>
        <w:snapToGrid/>
      </w:pPr>
      <w:rPr>
        <w:b/>
        <w:color w:themeColor="text1" w:val="000000"/>
        <w14:textFill>
          <w14:solidFill>
            <w14:schemeClr w14:val="tx1"/>
          </w14:solidFill>
        </w14:textFill>
      </w:rPr>
    </w:tblStylePr>
    <w:tblStylePr w:type="lastCol">
      <w:pPr>
        <w:snapToGrid/>
      </w:pPr>
      <w:rPr>
        <w:b/>
        <w:color w:themeColor="text1" w:val="000000"/>
        <w14:textFill>
          <w14:solidFill>
            <w14:schemeClr w14:val="tx1"/>
          </w14:solidFill>
        </w14:textFill>
      </w:rPr>
    </w:tblStylePr>
    <w:tblStylePr w:type="band1Vert">
      <w:pPr>
        <w:snapToGrid/>
      </w:pPr>
      <w:tblPr/>
      <w:tcPr>
        <w:shd w:color="FFFFFF" w:fill="BEBEBE" w:themeFill="text1" w:themeFillTint="40" w:val="clear"/>
      </w:tcPr>
    </w:tblStylePr>
    <w:tblStylePr w:type="band2Vert">
      <w:pPr>
        <w:snapToGrid/>
      </w:pPr>
    </w:tblStylePr>
    <w:tblStylePr w:type="band1Horz">
      <w:pPr>
        <w:snapToGrid/>
      </w:pPr>
      <w:rPr>
        <w:rFonts w:ascii="Arial" w:hAnsi="Arial"/>
        <w:color w:themeColor="text1" w:val="000000"/>
        <w:sz w:val="22"/>
        <w14:textFill>
          <w14:solidFill>
            <w14:schemeClr w14:val="tx1"/>
          </w14:solidFill>
        </w14:textFill>
      </w:rPr>
      <w:tblPr/>
      <w:tcPr>
        <w:shd w:color="FFFFFF" w:fill="BEBEBE" w:themeFill="text1" w:themeFillTint="40" w:val="clear"/>
      </w:tcPr>
    </w:tblStylePr>
    <w:tblStylePr w:type="band2Horz">
      <w:pPr>
        <w:snapToGrid/>
      </w:pPr>
      <w:rPr>
        <w:rFonts w:ascii="Arial" w:hAnsi="Arial"/>
        <w:color w:themeColor="text1" w:val="000000"/>
        <w:sz w:val="22"/>
        <w14:textFill>
          <w14:solidFill>
            <w14:schemeClr w14:val="tx1"/>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1" w:type="table">
    <w:name w:val="List Table 6 Colorful - Accent 1"/>
    <w:basedOn w:val="TableNormal"/>
    <w:uiPriority w:val="99"/>
    <w:qFormat/>
    <w:tblPr>
      <w:tblBorders>
        <w:top w:color="4F81BD" w:space="0" w:sz="4" w:themeColor="accent1" w:val="single"/>
        <w:bottom w:color="4F81BD" w:space="0" w:sz="4" w:themeColor="accent1" w:val="single"/>
      </w:tblBorders>
    </w:tblPr>
    <w:tblStylePr w:type="firstRow">
      <w:pPr>
        <w:snapToGrid/>
      </w:pPr>
      <w:rPr>
        <w:b/>
        <w:color w:themeColor="accent1" w:themeShade="94" w:val="2A4B71"/>
      </w:rPr>
      <w:tblPr/>
      <w:tcPr>
        <w:tcBorders>
          <w:bottom w:color="4F81BD" w:space="0" w:sz="4" w:themeColor="accent1" w:val="single"/>
        </w:tcBorders>
      </w:tcPr>
    </w:tblStylePr>
    <w:tblStylePr w:type="lastRow">
      <w:pPr>
        <w:snapToGrid/>
      </w:pPr>
      <w:rPr>
        <w:b/>
        <w:color w:themeColor="accent1" w:themeShade="94" w:val="2A4B71"/>
      </w:rPr>
      <w:tblPr/>
      <w:tcPr>
        <w:tcBorders>
          <w:top w:color="4F81BD" w:space="0" w:sz="4" w:themeColor="accent1" w:val="single"/>
        </w:tcBorders>
      </w:tcPr>
    </w:tblStylePr>
    <w:tblStylePr w:type="firstCol">
      <w:pPr>
        <w:snapToGrid/>
      </w:pPr>
      <w:rPr>
        <w:b/>
        <w:color w:themeColor="accent1" w:themeShade="94" w:val="2A4B71"/>
      </w:rPr>
    </w:tblStylePr>
    <w:tblStylePr w:type="lastCol">
      <w:pPr>
        <w:snapToGrid/>
      </w:pPr>
      <w:rPr>
        <w:b/>
        <w:color w:themeColor="accent1" w:themeShade="94" w:val="2A4B71"/>
      </w:rPr>
    </w:tblStylePr>
    <w:tblStylePr w:type="band1Vert">
      <w:pPr>
        <w:snapToGrid/>
      </w:pPr>
      <w:tblPr/>
      <w:tcPr>
        <w:shd w:color="FFFFFF" w:fill="D2DFEE" w:themeFill="accent1" w:themeFillTint="40" w:val="clear"/>
      </w:tcPr>
    </w:tblStylePr>
    <w:tblStylePr w:type="band2Vert">
      <w:pPr>
        <w:snapToGrid/>
      </w:pPr>
    </w:tblStylePr>
    <w:tblStylePr w:type="band1Horz">
      <w:pPr>
        <w:snapToGrid/>
      </w:pPr>
      <w:rPr>
        <w:rFonts w:ascii="Arial" w:hAnsi="Arial"/>
        <w:color w:themeColor="accent1" w:themeShade="94" w:val="2A4B71"/>
        <w:sz w:val="22"/>
      </w:rPr>
      <w:tblPr/>
      <w:tcPr>
        <w:shd w:color="FFFFFF" w:fill="D2DFEE" w:themeFill="accent1" w:themeFillTint="40" w:val="clear"/>
      </w:tcPr>
    </w:tblStylePr>
    <w:tblStylePr w:type="band2Horz">
      <w:pPr>
        <w:snapToGrid/>
      </w:pPr>
      <w:rPr>
        <w:rFonts w:ascii="Arial" w:hAnsi="Arial"/>
        <w:color w:themeColor="accent1" w:themeShade="94" w:val="2A4B71"/>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2" w:type="table">
    <w:name w:val="List Table 6 Colorful - Accent 2"/>
    <w:basedOn w:val="TableNormal"/>
    <w:uiPriority w:val="99"/>
    <w:qFormat/>
    <w:tblPr>
      <w:tblBorders>
        <w:top w:color="D99795" w:space="0" w:sz="4" w:themeColor="accent2" w:themeTint="97" w:val="single"/>
        <w:bottom w:color="D99795" w:space="0" w:sz="4" w:themeColor="accent2" w:themeTint="97" w:val="single"/>
      </w:tblBorders>
    </w:tblPr>
    <w:tblStylePr w:type="firstRow">
      <w:pPr>
        <w:snapToGrid/>
      </w:pPr>
      <w:rPr>
        <w:b/>
        <w:color w:themeColor="accent2" w:themeTint="96" w:val="DA9896"/>
        <w14:textFill>
          <w14:solidFill>
            <w14:schemeClr w14:val="accent2">
              <w14:lumMod w14:val="59000"/>
              <w14:lumOff w14:val="41000"/>
            </w14:schemeClr>
          </w14:solidFill>
        </w14:textFill>
      </w:rPr>
      <w:tblPr/>
      <w:tcPr>
        <w:tcBorders>
          <w:bottom w:color="D99795" w:space="0" w:sz="4" w:themeColor="accent2" w:themeTint="97" w:val="single"/>
        </w:tcBorders>
      </w:tcPr>
    </w:tblStylePr>
    <w:tblStylePr w:type="lastRow">
      <w:pPr>
        <w:snapToGrid/>
      </w:pPr>
      <w:rPr>
        <w:b/>
        <w:color w:themeColor="accent2" w:themeTint="96" w:val="DA9896"/>
        <w14:textFill>
          <w14:solidFill>
            <w14:schemeClr w14:val="accent2">
              <w14:lumMod w14:val="59000"/>
              <w14:lumOff w14:val="41000"/>
            </w14:schemeClr>
          </w14:solidFill>
        </w14:textFill>
      </w:rPr>
      <w:tblPr/>
      <w:tcPr>
        <w:tcBorders>
          <w:top w:color="D99795" w:space="0" w:sz="4" w:themeColor="accent2" w:themeTint="97" w:val="single"/>
        </w:tcBorders>
      </w:tcPr>
    </w:tblStylePr>
    <w:tblStylePr w:type="firstCol">
      <w:pPr>
        <w:snapToGrid/>
      </w:pPr>
      <w:rPr>
        <w:b/>
        <w:color w:themeColor="accent2" w:themeTint="96" w:val="DA9896"/>
        <w14:textFill>
          <w14:solidFill>
            <w14:schemeClr w14:val="accent2">
              <w14:lumMod w14:val="59000"/>
              <w14:lumOff w14:val="41000"/>
            </w14:schemeClr>
          </w14:solidFill>
        </w14:textFill>
      </w:rPr>
    </w:tblStylePr>
    <w:tblStylePr w:type="lastCol">
      <w:pPr>
        <w:snapToGrid/>
      </w:pPr>
      <w:rPr>
        <w:b/>
        <w:color w:themeColor="accent2" w:themeTint="96" w:val="DA9896"/>
        <w14:textFill>
          <w14:solidFill>
            <w14:schemeClr w14:val="accent2">
              <w14:lumMod w14:val="59000"/>
              <w14:lumOff w14:val="41000"/>
            </w14:schemeClr>
          </w14:solidFill>
        </w14:textFill>
      </w:rPr>
    </w:tblStylePr>
    <w:tblStylePr w:type="band1Vert">
      <w:pPr>
        <w:snapToGrid/>
      </w:pPr>
      <w:tblPr/>
      <w:tcPr>
        <w:shd w:color="FFFFFF" w:fill="EFD3D2" w:themeFill="accent2" w:themeFillTint="40" w:val="clear"/>
      </w:tcPr>
    </w:tblStylePr>
    <w:tblStylePr w:type="band2Vert">
      <w:pPr>
        <w:snapToGrid/>
      </w:pPr>
    </w:tblStylePr>
    <w:tblStylePr w:type="band1Horz">
      <w:pPr>
        <w:snapToGrid/>
      </w:pPr>
      <w:rPr>
        <w:rFonts w:ascii="Arial" w:hAnsi="Arial"/>
        <w:color w:themeColor="accent2" w:themeTint="96" w:val="DA9896"/>
        <w:sz w:val="22"/>
        <w14:textFill>
          <w14:solidFill>
            <w14:schemeClr w14:val="accent2">
              <w14:lumMod w14:val="59000"/>
              <w14:lumOff w14:val="41000"/>
            </w14:schemeClr>
          </w14:solidFill>
        </w14:textFill>
      </w:rPr>
      <w:tblPr/>
      <w:tcPr>
        <w:shd w:color="FFFFFF" w:fill="EFD3D2" w:themeFill="accent2" w:themeFillTint="40" w:val="clear"/>
      </w:tcPr>
    </w:tblStylePr>
    <w:tblStylePr w:type="band2Horz">
      <w:pPr>
        <w:snapToGrid/>
      </w:pPr>
      <w:rPr>
        <w:rFonts w:ascii="Arial" w:hAnsi="Arial"/>
        <w:color w:themeColor="accent2" w:themeTint="96" w:val="DA98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3" w:type="table">
    <w:name w:val="List Table 6 Colorful - Accent 3"/>
    <w:basedOn w:val="TableNormal"/>
    <w:uiPriority w:val="99"/>
    <w:qFormat/>
    <w:tblPr>
      <w:tblBorders>
        <w:top w:color="C3D69C" w:space="0" w:sz="4" w:themeColor="accent3" w:themeTint="98" w:val="single"/>
        <w:bottom w:color="C3D69C" w:space="0" w:sz="4" w:themeColor="accent3" w:themeTint="98" w:val="single"/>
      </w:tblBorders>
    </w:tblPr>
    <w:tblStylePr w:type="firstRow">
      <w:pPr>
        <w:snapToGrid/>
      </w:pPr>
      <w:rPr>
        <w:b/>
        <w:color w:themeColor="accent3" w:themeTint="99" w:val="C3D69B"/>
        <w14:textFill>
          <w14:solidFill>
            <w14:schemeClr w14:val="accent3">
              <w14:lumMod w14:val="60000"/>
              <w14:lumOff w14:val="40000"/>
            </w14:schemeClr>
          </w14:solidFill>
        </w14:textFill>
      </w:rPr>
      <w:tblPr/>
      <w:tcPr>
        <w:tcBorders>
          <w:bottom w:color="C3D69C" w:space="0" w:sz="4" w:themeColor="accent3" w:themeTint="98" w:val="single"/>
        </w:tcBorders>
      </w:tcPr>
    </w:tblStylePr>
    <w:tblStylePr w:type="lastRow">
      <w:pPr>
        <w:snapToGrid/>
      </w:pPr>
      <w:rPr>
        <w:b/>
        <w:color w:themeColor="accent3" w:themeTint="99" w:val="C3D69B"/>
        <w14:textFill>
          <w14:solidFill>
            <w14:schemeClr w14:val="accent3">
              <w14:lumMod w14:val="60000"/>
              <w14:lumOff w14:val="40000"/>
            </w14:schemeClr>
          </w14:solidFill>
        </w14:textFill>
      </w:rPr>
      <w:tblPr/>
      <w:tcPr>
        <w:tcBorders>
          <w:top w:color="C3D69C" w:space="0" w:sz="4" w:themeColor="accent3" w:themeTint="98" w:val="single"/>
        </w:tcBorders>
      </w:tcPr>
    </w:tblStylePr>
    <w:tblStylePr w:type="firstCol">
      <w:pPr>
        <w:snapToGrid/>
      </w:pPr>
      <w:rPr>
        <w:b/>
        <w:color w:themeColor="accent3" w:themeTint="99" w:val="C3D69B"/>
        <w14:textFill>
          <w14:solidFill>
            <w14:schemeClr w14:val="accent3">
              <w14:lumMod w14:val="60000"/>
              <w14:lumOff w14:val="40000"/>
            </w14:schemeClr>
          </w14:solidFill>
        </w14:textFill>
      </w:rPr>
    </w:tblStylePr>
    <w:tblStylePr w:type="lastCol">
      <w:pPr>
        <w:snapToGrid/>
      </w:pPr>
      <w:rPr>
        <w:b/>
        <w:color w:themeColor="accent3" w:themeTint="99" w:val="C3D69B"/>
        <w14:textFill>
          <w14:solidFill>
            <w14:schemeClr w14:val="accent3">
              <w14:lumMod w14:val="60000"/>
              <w14:lumOff w14:val="40000"/>
            </w14:schemeClr>
          </w14:solidFill>
        </w14:textFill>
      </w:rPr>
    </w:tblStylePr>
    <w:tblStylePr w:type="band1Vert">
      <w:pPr>
        <w:snapToGrid/>
      </w:pPr>
      <w:tblPr/>
      <w:tcPr>
        <w:shd w:color="FFFFFF" w:fill="E5EDD5" w:themeFill="accent3" w:themeFillTint="40" w:val="clear"/>
      </w:tcPr>
    </w:tblStylePr>
    <w:tblStylePr w:type="band2Vert">
      <w:pPr>
        <w:snapToGrid/>
      </w:pPr>
    </w:tblStylePr>
    <w:tblStylePr w:type="band1Horz">
      <w:pPr>
        <w:snapToGrid/>
      </w:pPr>
      <w:rPr>
        <w:rFonts w:ascii="Arial" w:hAnsi="Arial"/>
        <w:color w:themeColor="accent3" w:themeTint="99" w:val="C3D69B"/>
        <w:sz w:val="22"/>
        <w14:textFill>
          <w14:solidFill>
            <w14:schemeClr w14:val="accent3">
              <w14:lumMod w14:val="60000"/>
              <w14:lumOff w14:val="40000"/>
            </w14:schemeClr>
          </w14:solidFill>
        </w14:textFill>
      </w:rPr>
      <w:tblPr/>
      <w:tcPr>
        <w:shd w:color="FFFFFF" w:fill="E5EDD5" w:themeFill="accent3" w:themeFillTint="40" w:val="clear"/>
      </w:tcPr>
    </w:tblStylePr>
    <w:tblStylePr w:type="band2Horz">
      <w:pPr>
        <w:snapToGrid/>
      </w:pPr>
      <w:rPr>
        <w:rFonts w:ascii="Arial" w:hAnsi="Arial"/>
        <w:color w:themeColor="accent3" w:themeTint="99" w:val="C3D69B"/>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4" w:type="table">
    <w:name w:val="List Table 6 Colorful - Accent 4"/>
    <w:basedOn w:val="TableNormal"/>
    <w:uiPriority w:val="99"/>
    <w:qFormat/>
    <w:tblPr>
      <w:tblBorders>
        <w:top w:color="B2A1C6" w:space="0" w:sz="4" w:themeColor="accent4" w:themeTint="9A" w:val="single"/>
        <w:bottom w:color="B2A1C6" w:space="0" w:sz="4" w:themeColor="accent4" w:themeTint="9A" w:val="single"/>
      </w:tblBorders>
    </w:tblPr>
    <w:tblStylePr w:type="firstRow">
      <w:pPr>
        <w:snapToGrid/>
      </w:pPr>
      <w:rPr>
        <w:b/>
        <w:color w:themeColor="accent4" w:themeTint="99" w:val="B3A2C7"/>
        <w14:textFill>
          <w14:solidFill>
            <w14:schemeClr w14:val="accent4">
              <w14:lumMod w14:val="60000"/>
              <w14:lumOff w14:val="40000"/>
            </w14:schemeClr>
          </w14:solidFill>
        </w14:textFill>
      </w:rPr>
      <w:tblPr/>
      <w:tcPr>
        <w:tcBorders>
          <w:bottom w:color="B2A1C6" w:space="0" w:sz="4" w:themeColor="accent4" w:themeTint="9A" w:val="single"/>
        </w:tcBorders>
      </w:tcPr>
    </w:tblStylePr>
    <w:tblStylePr w:type="lastRow">
      <w:pPr>
        <w:snapToGrid/>
      </w:pPr>
      <w:rPr>
        <w:b/>
        <w:color w:themeColor="accent4" w:themeTint="99" w:val="B3A2C7"/>
        <w14:textFill>
          <w14:solidFill>
            <w14:schemeClr w14:val="accent4">
              <w14:lumMod w14:val="60000"/>
              <w14:lumOff w14:val="40000"/>
            </w14:schemeClr>
          </w14:solidFill>
        </w14:textFill>
      </w:rPr>
      <w:tblPr/>
      <w:tcPr>
        <w:tcBorders>
          <w:top w:color="B2A1C6" w:space="0" w:sz="4" w:themeColor="accent4" w:themeTint="9A" w:val="single"/>
        </w:tcBorders>
      </w:tcPr>
    </w:tblStylePr>
    <w:tblStylePr w:type="firstCol">
      <w:pPr>
        <w:snapToGrid/>
      </w:pPr>
      <w:rPr>
        <w:b/>
        <w:color w:themeColor="accent4" w:themeTint="99" w:val="B3A2C7"/>
        <w14:textFill>
          <w14:solidFill>
            <w14:schemeClr w14:val="accent4">
              <w14:lumMod w14:val="60000"/>
              <w14:lumOff w14:val="40000"/>
            </w14:schemeClr>
          </w14:solidFill>
        </w14:textFill>
      </w:rPr>
    </w:tblStylePr>
    <w:tblStylePr w:type="lastCol">
      <w:pPr>
        <w:snapToGrid/>
      </w:pPr>
      <w:rPr>
        <w:b/>
        <w:color w:themeColor="accent4" w:themeTint="99" w:val="B3A2C7"/>
        <w14:textFill>
          <w14:solidFill>
            <w14:schemeClr w14:val="accent4">
              <w14:lumMod w14:val="60000"/>
              <w14:lumOff w14:val="40000"/>
            </w14:schemeClr>
          </w14:solidFill>
        </w14:textFill>
      </w:rPr>
    </w:tblStylePr>
    <w:tblStylePr w:type="band1Vert">
      <w:pPr>
        <w:snapToGrid/>
      </w:pPr>
      <w:tblPr/>
      <w:tcPr>
        <w:shd w:color="FFFFFF" w:fill="DFD8E7" w:themeFill="accent4" w:themeFillTint="40" w:val="clear"/>
      </w:tcPr>
    </w:tblStylePr>
    <w:tblStylePr w:type="band2Vert">
      <w:pPr>
        <w:snapToGrid/>
      </w:pPr>
    </w:tblStylePr>
    <w:tblStylePr w:type="band1Horz">
      <w:pPr>
        <w:snapToGrid/>
      </w:pPr>
      <w:rPr>
        <w:rFonts w:ascii="Arial" w:hAnsi="Arial"/>
        <w:color w:themeColor="accent4" w:themeTint="99" w:val="B3A2C7"/>
        <w:sz w:val="22"/>
        <w14:textFill>
          <w14:solidFill>
            <w14:schemeClr w14:val="accent4">
              <w14:lumMod w14:val="60000"/>
              <w14:lumOff w14:val="40000"/>
            </w14:schemeClr>
          </w14:solidFill>
        </w14:textFill>
      </w:rPr>
      <w:tblPr/>
      <w:tcPr>
        <w:shd w:color="FFFFFF" w:fill="DFD8E7" w:themeFill="accent4" w:themeFillTint="40" w:val="clear"/>
      </w:tcPr>
    </w:tblStylePr>
    <w:tblStylePr w:type="band2Horz">
      <w:pPr>
        <w:snapToGrid/>
      </w:pPr>
      <w:rPr>
        <w:rFonts w:ascii="Arial" w:hAnsi="Arial"/>
        <w:color w:themeColor="accent4" w:themeTint="99" w:val="B3A2C7"/>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5" w:type="table">
    <w:name w:val="List Table 6 Colorful - Accent 5"/>
    <w:basedOn w:val="TableNormal"/>
    <w:uiPriority w:val="99"/>
    <w:qFormat/>
    <w:tblPr>
      <w:tblBorders>
        <w:top w:color="92CCDC" w:space="0" w:sz="4" w:themeColor="accent5" w:themeTint="9A" w:val="single"/>
        <w:bottom w:color="92CCDC" w:space="0" w:sz="4" w:themeColor="accent5" w:themeTint="9A" w:val="single"/>
      </w:tblBorders>
    </w:tblPr>
    <w:tblStylePr w:type="firstRow">
      <w:pPr>
        <w:snapToGrid/>
      </w:pPr>
      <w:rPr>
        <w:b/>
        <w:color w:themeColor="accent5" w:themeTint="99" w:val="93CDDD"/>
        <w14:textFill>
          <w14:solidFill>
            <w14:schemeClr w14:val="accent5">
              <w14:lumMod w14:val="60000"/>
              <w14:lumOff w14:val="40000"/>
            </w14:schemeClr>
          </w14:solidFill>
        </w14:textFill>
      </w:rPr>
      <w:tblPr/>
      <w:tcPr>
        <w:tcBorders>
          <w:bottom w:color="92CCDC" w:space="0" w:sz="4" w:themeColor="accent5" w:themeTint="9A" w:val="single"/>
        </w:tcBorders>
      </w:tcPr>
    </w:tblStylePr>
    <w:tblStylePr w:type="lastRow">
      <w:pPr>
        <w:snapToGrid/>
      </w:pPr>
      <w:rPr>
        <w:b/>
        <w:color w:themeColor="accent5" w:themeTint="99" w:val="93CDDD"/>
        <w14:textFill>
          <w14:solidFill>
            <w14:schemeClr w14:val="accent5">
              <w14:lumMod w14:val="60000"/>
              <w14:lumOff w14:val="40000"/>
            </w14:schemeClr>
          </w14:solidFill>
        </w14:textFill>
      </w:rPr>
      <w:tblPr/>
      <w:tcPr>
        <w:tcBorders>
          <w:top w:color="92CCDC" w:space="0" w:sz="4" w:themeColor="accent5" w:themeTint="9A" w:val="single"/>
        </w:tcBorders>
      </w:tcPr>
    </w:tblStylePr>
    <w:tblStylePr w:type="firstCol">
      <w:pPr>
        <w:snapToGrid/>
      </w:pPr>
      <w:rPr>
        <w:b/>
        <w:color w:themeColor="accent5" w:themeTint="99" w:val="93CDDD"/>
        <w14:textFill>
          <w14:solidFill>
            <w14:schemeClr w14:val="accent5">
              <w14:lumMod w14:val="60000"/>
              <w14:lumOff w14:val="40000"/>
            </w14:schemeClr>
          </w14:solidFill>
        </w14:textFill>
      </w:rPr>
    </w:tblStylePr>
    <w:tblStylePr w:type="lastCol">
      <w:pPr>
        <w:snapToGrid/>
      </w:pPr>
      <w:rPr>
        <w:b/>
        <w:color w:themeColor="accent5" w:themeTint="99" w:val="93CDDD"/>
        <w14:textFill>
          <w14:solidFill>
            <w14:schemeClr w14:val="accent5">
              <w14:lumMod w14:val="60000"/>
              <w14:lumOff w14:val="40000"/>
            </w14:schemeClr>
          </w14:solidFill>
        </w14:textFill>
      </w:rPr>
    </w:tblStylePr>
    <w:tblStylePr w:type="band1Vert">
      <w:pPr>
        <w:snapToGrid/>
      </w:pPr>
      <w:tblPr/>
      <w:tcPr>
        <w:shd w:color="FFFFFF" w:fill="D1EAF0" w:themeFill="accent5" w:themeFillTint="40" w:val="clear"/>
      </w:tcPr>
    </w:tblStylePr>
    <w:tblStylePr w:type="band2Vert">
      <w:pPr>
        <w:snapToGrid/>
      </w:pPr>
    </w:tblStylePr>
    <w:tblStylePr w:type="band1Horz">
      <w:pPr>
        <w:snapToGrid/>
      </w:pPr>
      <w:rPr>
        <w:rFonts w:ascii="Arial" w:hAnsi="Arial"/>
        <w:color w:themeColor="accent5" w:themeTint="99" w:val="93CDDD"/>
        <w:sz w:val="22"/>
        <w14:textFill>
          <w14:solidFill>
            <w14:schemeClr w14:val="accent5">
              <w14:lumMod w14:val="60000"/>
              <w14:lumOff w14:val="40000"/>
            </w14:schemeClr>
          </w14:solidFill>
        </w14:textFill>
      </w:rPr>
      <w:tblPr/>
      <w:tcPr>
        <w:shd w:color="FFFFFF" w:fill="D1EAF0" w:themeFill="accent5" w:themeFillTint="40" w:val="clear"/>
      </w:tcPr>
    </w:tblStylePr>
    <w:tblStylePr w:type="band2Horz">
      <w:pPr>
        <w:snapToGrid/>
      </w:pPr>
      <w:rPr>
        <w:rFonts w:ascii="Arial" w:hAnsi="Arial"/>
        <w:color w:themeColor="accent5" w:themeTint="99" w:val="93CDDD"/>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6Colorful-Accent6" w:type="table">
    <w:name w:val="List Table 6 Colorful - Accent 6"/>
    <w:basedOn w:val="TableNormal"/>
    <w:uiPriority w:val="99"/>
    <w:qFormat/>
    <w:tblPr>
      <w:tblBorders>
        <w:top w:color="FAC090" w:space="0" w:sz="4" w:themeColor="accent6" w:themeTint="98" w:val="single"/>
        <w:bottom w:color="FAC090" w:space="0" w:sz="4" w:themeColor="accent6" w:themeTint="98" w:val="single"/>
      </w:tblBorders>
    </w:tblPr>
    <w:tblStylePr w:type="firstRow">
      <w:pPr>
        <w:snapToGrid/>
      </w:pPr>
      <w:rPr>
        <w:b/>
        <w:color w:themeColor="accent6" w:themeTint="99" w:val="FAC090"/>
        <w14:textFill>
          <w14:solidFill>
            <w14:schemeClr w14:val="accent6">
              <w14:lumMod w14:val="60000"/>
              <w14:lumOff w14:val="40000"/>
            </w14:schemeClr>
          </w14:solidFill>
        </w14:textFill>
      </w:rPr>
      <w:tblPr/>
      <w:tcPr>
        <w:tcBorders>
          <w:bottom w:color="FAC090" w:space="0" w:sz="4" w:themeColor="accent6" w:themeTint="98" w:val="single"/>
        </w:tcBorders>
      </w:tcPr>
    </w:tblStylePr>
    <w:tblStylePr w:type="lastRow">
      <w:pPr>
        <w:snapToGrid/>
      </w:pPr>
      <w:rPr>
        <w:b/>
        <w:color w:themeColor="accent6" w:themeTint="99" w:val="FAC090"/>
        <w14:textFill>
          <w14:solidFill>
            <w14:schemeClr w14:val="accent6">
              <w14:lumMod w14:val="60000"/>
              <w14:lumOff w14:val="40000"/>
            </w14:schemeClr>
          </w14:solidFill>
        </w14:textFill>
      </w:rPr>
      <w:tblPr/>
      <w:tcPr>
        <w:tcBorders>
          <w:top w:color="FAC090" w:space="0" w:sz="4" w:themeColor="accent6" w:themeTint="98" w:val="single"/>
        </w:tcBorders>
      </w:tcPr>
    </w:tblStylePr>
    <w:tblStylePr w:type="firstCol">
      <w:pPr>
        <w:snapToGrid/>
      </w:pPr>
      <w:rPr>
        <w:b/>
        <w:color w:themeColor="accent6" w:themeTint="99" w:val="FAC090"/>
        <w14:textFill>
          <w14:solidFill>
            <w14:schemeClr w14:val="accent6">
              <w14:lumMod w14:val="60000"/>
              <w14:lumOff w14:val="40000"/>
            </w14:schemeClr>
          </w14:solidFill>
        </w14:textFill>
      </w:rPr>
    </w:tblStylePr>
    <w:tblStylePr w:type="lastCol">
      <w:pPr>
        <w:snapToGrid/>
      </w:pPr>
      <w:rPr>
        <w:b/>
        <w:color w:themeColor="accent6" w:themeTint="99" w:val="FAC090"/>
        <w14:textFill>
          <w14:solidFill>
            <w14:schemeClr w14:val="accent6">
              <w14:lumMod w14:val="60000"/>
              <w14:lumOff w14:val="40000"/>
            </w14:schemeClr>
          </w14:solidFill>
        </w14:textFill>
      </w:rPr>
    </w:tblStylePr>
    <w:tblStylePr w:type="band1Vert">
      <w:pPr>
        <w:snapToGrid/>
      </w:pPr>
      <w:tblPr/>
      <w:tcPr>
        <w:shd w:color="FFFFFF" w:fill="FCE4D0" w:themeFill="accent6" w:themeFillTint="40" w:val="clear"/>
      </w:tcPr>
    </w:tblStylePr>
    <w:tblStylePr w:type="band2Vert">
      <w:pPr>
        <w:snapToGrid/>
      </w:pPr>
    </w:tblStylePr>
    <w:tblStylePr w:type="band1Horz">
      <w:pPr>
        <w:snapToGrid/>
      </w:pPr>
      <w:rPr>
        <w:rFonts w:ascii="Arial" w:hAnsi="Arial"/>
        <w:color w:themeColor="accent6" w:themeTint="99" w:val="FAC090"/>
        <w:sz w:val="22"/>
        <w14:textFill>
          <w14:solidFill>
            <w14:schemeClr w14:val="accent6">
              <w14:lumMod w14:val="60000"/>
              <w14:lumOff w14:val="40000"/>
            </w14:schemeClr>
          </w14:solidFill>
        </w14:textFill>
      </w:rPr>
      <w:tblPr/>
      <w:tcPr>
        <w:shd w:color="FFFFFF" w:fill="FCE4D0" w:themeFill="accent6" w:themeFillTint="40" w:val="clear"/>
      </w:tcPr>
    </w:tblStylePr>
    <w:tblStylePr w:type="band2Horz">
      <w:pPr>
        <w:snapToGrid/>
      </w:pPr>
      <w:rPr>
        <w:rFonts w:ascii="Arial" w:hAnsi="Arial"/>
        <w:color w:themeColor="accent6" w:themeTint="99" w:val="FAC090"/>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710" w:type="table">
    <w:name w:val="清单表 7 彩色1"/>
    <w:basedOn w:val="TableNormal"/>
    <w:uiPriority w:val="99"/>
    <w:qFormat/>
    <w:tblPr>
      <w:tblBorders>
        <w:right w:color="7E7E7E" w:space="0" w:sz="4" w:themeColor="text1" w:themeTint="80" w:val="single"/>
      </w:tblBorders>
    </w:tblPr>
    <w:tblStylePr w:type="firstRow">
      <w:pPr>
        <w:snapToGrid/>
      </w:pPr>
      <w:rPr>
        <w:rFonts w:ascii="Arial" w:hAnsi="Arial"/>
        <w:i/>
        <w:color w:themeColor="text1" w:themeTint="80" w:val="808080"/>
        <w:sz w:val="22"/>
        <w14:textFill>
          <w14:solidFill>
            <w14:schemeClr w14:val="tx1">
              <w14:lumMod w14:val="50000"/>
              <w14:lumOff w14:val="50000"/>
            </w14:schemeClr>
          </w14:solidFill>
        </w14:textFill>
      </w:rPr>
      <w:tblPr/>
      <w:tcPr>
        <w:tcBorders>
          <w:top w:val="nil"/>
          <w:left w:val="nil"/>
          <w:bottom w:color="7E7E7E" w:space="0" w:sz="4" w:themeColor="text1" w:themeTint="80" w:val="single"/>
          <w:right w:val="nil"/>
        </w:tcBorders>
        <w:shd w:color="FFFFFF" w:fill="FFFFFF" w:themeFill="light1" w:val="clear"/>
      </w:tcPr>
    </w:tblStylePr>
    <w:tblStylePr w:type="lastRow">
      <w:pPr>
        <w:snapToGrid/>
      </w:pPr>
      <w:rPr>
        <w:rFonts w:ascii="Arial" w:hAnsi="Arial"/>
        <w:i/>
        <w:color w:themeColor="text1" w:themeTint="80" w:val="808080"/>
        <w:sz w:val="22"/>
        <w14:textFill>
          <w14:solidFill>
            <w14:schemeClr w14:val="tx1">
              <w14:lumMod w14:val="50000"/>
              <w14:lumOff w14:val="50000"/>
            </w14:schemeClr>
          </w14:solidFill>
        </w14:textFill>
      </w:rPr>
      <w:tblPr/>
      <w:tcPr>
        <w:tcBorders>
          <w:top w:color="7E7E7E" w:space="0" w:sz="4" w:themeColor="text1" w:themeTint="80" w:val="single"/>
          <w:left w:val="nil"/>
          <w:bottom w:val="nil"/>
          <w:right w:val="nil"/>
        </w:tcBorders>
        <w:shd w:color="FFFFFF" w:fill="FFFFFF" w:themeFill="light1" w:val="clear"/>
      </w:tcPr>
    </w:tblStylePr>
    <w:tblStylePr w:type="firstCol">
      <w:pPr>
        <w:snapToGrid/>
        <w:jc w:val="right"/>
      </w:pPr>
      <w:rPr>
        <w:rFonts w:ascii="Arial" w:hAnsi="Arial"/>
        <w:i/>
        <w:color w:themeColor="text1" w:themeTint="80" w:val="808080"/>
        <w:sz w:val="22"/>
        <w14:textFill>
          <w14:solidFill>
            <w14:schemeClr w14:val="tx1">
              <w14:lumMod w14:val="50000"/>
              <w14:lumOff w14:val="50000"/>
            </w14:schemeClr>
          </w14:solidFill>
        </w14:textFill>
      </w:rPr>
      <w:tblPr/>
      <w:tcPr>
        <w:tcBorders>
          <w:top w:val="nil"/>
          <w:left w:val="nil"/>
          <w:bottom w:val="nil"/>
          <w:right w:color="7E7E7E" w:space="0" w:sz="4" w:themeColor="text1" w:themeTint="80" w:val="single"/>
        </w:tcBorders>
        <w:shd w:color="FFFFFF" w:fill="FFFFFF" w:val="clear"/>
      </w:tcPr>
    </w:tblStylePr>
    <w:tblStylePr w:type="lastCol">
      <w:pPr>
        <w:snapToGrid/>
      </w:pPr>
      <w:rPr>
        <w:rFonts w:ascii="Arial" w:hAnsi="Arial"/>
        <w:i/>
        <w:color w:themeColor="text1" w:themeTint="80" w:val="808080"/>
        <w:sz w:val="22"/>
        <w14:textFill>
          <w14:solidFill>
            <w14:schemeClr w14:val="tx1">
              <w14:lumMod w14:val="50000"/>
              <w14:lumOff w14:val="50000"/>
            </w14:schemeClr>
          </w14:solidFill>
        </w14:textFill>
      </w:rPr>
      <w:tblPr/>
      <w:tcPr>
        <w:tcBorders>
          <w:top w:val="nil"/>
          <w:left w:color="7E7E7E" w:space="0" w:sz="4" w:themeColor="text1" w:themeTint="80" w:val="single"/>
          <w:bottom w:val="nil"/>
          <w:right w:val="nil"/>
        </w:tcBorders>
        <w:shd w:color="FFFFFF" w:fill="FFFFFF" w:val="clear"/>
      </w:tcPr>
    </w:tblStylePr>
    <w:tblStylePr w:type="band1Vert">
      <w:pPr>
        <w:snapToGrid/>
      </w:pPr>
      <w:tblPr/>
      <w:tcPr>
        <w:shd w:color="FFFFFF" w:fill="BEBEBE" w:themeFill="text1" w:themeFillTint="40" w:val="clear"/>
      </w:tcPr>
    </w:tblStylePr>
    <w:tblStylePr w:type="band2Vert">
      <w:pPr>
        <w:snapToGrid/>
      </w:pPr>
    </w:tblStylePr>
    <w:tblStylePr w:type="band1Horz">
      <w:pPr>
        <w:snapToGrid/>
      </w:pPr>
      <w:rPr>
        <w:rFonts w:ascii="Arial" w:hAnsi="Arial"/>
        <w:color w:themeColor="text1" w:themeTint="80" w:val="808080"/>
        <w:sz w:val="22"/>
        <w14:textFill>
          <w14:solidFill>
            <w14:schemeClr w14:val="tx1">
              <w14:lumMod w14:val="50000"/>
              <w14:lumOff w14:val="50000"/>
            </w14:schemeClr>
          </w14:solidFill>
        </w14:textFill>
      </w:rPr>
      <w:tblPr/>
      <w:tcPr>
        <w:shd w:color="FFFFFF" w:fill="BEBEBE" w:themeFill="text1" w:themeFillTint="40" w:val="clear"/>
      </w:tcPr>
    </w:tblStylePr>
    <w:tblStylePr w:type="band2Horz">
      <w:pPr>
        <w:snapToGrid/>
      </w:pPr>
      <w:rPr>
        <w:rFonts w:ascii="Arial" w:hAnsi="Arial"/>
        <w:color w:themeColor="text1" w:themeTint="80" w:val="808080"/>
        <w:sz w:val="22"/>
        <w14:textFill>
          <w14:solidFill>
            <w14:schemeClr w14:val="tx1">
              <w14:lumMod w14:val="50000"/>
              <w14:lumOff w14:val="5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1" w:type="table">
    <w:name w:val="List Table 7 Colorful - Accent 1"/>
    <w:basedOn w:val="TableNormal"/>
    <w:uiPriority w:val="99"/>
    <w:qFormat/>
    <w:tblPr>
      <w:tblBorders>
        <w:right w:color="4F81BD" w:space="0" w:sz="4" w:themeColor="accent1" w:val="single"/>
      </w:tblBorders>
    </w:tblPr>
    <w:tblStylePr w:type="firstRow">
      <w:pPr>
        <w:snapToGrid/>
      </w:pPr>
      <w:rPr>
        <w:rFonts w:ascii="Arial" w:hAnsi="Arial"/>
        <w:i/>
        <w:color w:themeColor="accent1" w:themeShade="94" w:val="2A4B71"/>
        <w:sz w:val="22"/>
      </w:rPr>
      <w:tblPr/>
      <w:tcPr>
        <w:tcBorders>
          <w:top w:val="nil"/>
          <w:left w:val="nil"/>
          <w:bottom w:color="4F81BD" w:space="0" w:sz="4" w:themeColor="accent1" w:val="single"/>
          <w:right w:val="nil"/>
        </w:tcBorders>
        <w:shd w:color="FFFFFF" w:fill="FFFFFF" w:themeFill="light1" w:val="clear"/>
      </w:tcPr>
    </w:tblStylePr>
    <w:tblStylePr w:type="lastRow">
      <w:pPr>
        <w:snapToGrid/>
      </w:pPr>
      <w:rPr>
        <w:rFonts w:ascii="Arial" w:hAnsi="Arial"/>
        <w:i/>
        <w:color w:themeColor="accent1" w:themeShade="94" w:val="2A4B71"/>
        <w:sz w:val="22"/>
      </w:rPr>
      <w:tblPr/>
      <w:tcPr>
        <w:tcBorders>
          <w:top w:color="4F81BD" w:space="0" w:sz="4" w:themeColor="accent1" w:val="single"/>
          <w:left w:val="nil"/>
          <w:bottom w:val="nil"/>
          <w:right w:val="nil"/>
        </w:tcBorders>
        <w:shd w:color="FFFFFF" w:fill="FFFFFF" w:themeFill="light1" w:val="clear"/>
      </w:tcPr>
    </w:tblStylePr>
    <w:tblStylePr w:type="firstCol">
      <w:pPr>
        <w:snapToGrid/>
        <w:jc w:val="right"/>
      </w:pPr>
      <w:rPr>
        <w:rFonts w:ascii="Arial" w:hAnsi="Arial"/>
        <w:i/>
        <w:color w:themeColor="accent1" w:themeShade="94" w:val="2A4B71"/>
        <w:sz w:val="22"/>
      </w:rPr>
      <w:tblPr/>
      <w:tcPr>
        <w:tcBorders>
          <w:top w:val="nil"/>
          <w:left w:val="nil"/>
          <w:bottom w:val="nil"/>
          <w:right w:color="4F81BD" w:space="0" w:sz="4" w:themeColor="accent1" w:val="single"/>
        </w:tcBorders>
        <w:shd w:color="FFFFFF" w:fill="FFFFFF" w:val="clear"/>
      </w:tcPr>
    </w:tblStylePr>
    <w:tblStylePr w:type="lastCol">
      <w:pPr>
        <w:snapToGrid/>
      </w:pPr>
      <w:rPr>
        <w:rFonts w:ascii="Arial" w:hAnsi="Arial"/>
        <w:i/>
        <w:color w:themeColor="accent1" w:themeShade="94" w:val="2A4B71"/>
        <w:sz w:val="22"/>
      </w:rPr>
      <w:tblPr/>
      <w:tcPr>
        <w:tcBorders>
          <w:top w:val="nil"/>
          <w:left w:color="4F81BD" w:space="0" w:sz="4" w:themeColor="accent1" w:val="single"/>
          <w:bottom w:val="nil"/>
          <w:right w:val="nil"/>
        </w:tcBorders>
        <w:shd w:color="FFFFFF" w:fill="FFFFFF" w:val="clear"/>
      </w:tcPr>
    </w:tblStylePr>
    <w:tblStylePr w:type="band1Vert">
      <w:pPr>
        <w:snapToGrid/>
      </w:pPr>
      <w:tblPr/>
      <w:tcPr>
        <w:shd w:color="FFFFFF" w:fill="D2DFEE" w:themeFill="accent1" w:themeFillTint="40" w:val="clear"/>
      </w:tcPr>
    </w:tblStylePr>
    <w:tblStylePr w:type="band2Vert">
      <w:pPr>
        <w:snapToGrid/>
      </w:pPr>
    </w:tblStylePr>
    <w:tblStylePr w:type="band1Horz">
      <w:pPr>
        <w:snapToGrid/>
      </w:pPr>
      <w:rPr>
        <w:rFonts w:ascii="Arial" w:hAnsi="Arial"/>
        <w:color w:themeColor="accent1" w:themeShade="94" w:val="2A4B71"/>
        <w:sz w:val="22"/>
      </w:rPr>
      <w:tblPr/>
      <w:tcPr>
        <w:shd w:color="FFFFFF" w:fill="D2DFEE" w:themeFill="accent1" w:themeFillTint="40" w:val="clear"/>
      </w:tcPr>
    </w:tblStylePr>
    <w:tblStylePr w:type="band2Horz">
      <w:pPr>
        <w:snapToGrid/>
      </w:pPr>
      <w:rPr>
        <w:rFonts w:ascii="Arial" w:hAnsi="Arial"/>
        <w:color w:themeColor="accent1" w:themeShade="94" w:val="2A4B71"/>
        <w:sz w:val="22"/>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2" w:type="table">
    <w:name w:val="List Table 7 Colorful - Accent 2"/>
    <w:basedOn w:val="TableNormal"/>
    <w:uiPriority w:val="99"/>
    <w:qFormat/>
    <w:tblPr>
      <w:tblBorders>
        <w:right w:color="D99795" w:space="0" w:sz="4" w:themeColor="accent2" w:themeTint="97" w:val="single"/>
      </w:tblBorders>
    </w:tblPr>
    <w:tblStylePr w:type="firstRow">
      <w:pPr>
        <w:snapToGrid/>
      </w:pPr>
      <w:rPr>
        <w:rFonts w:ascii="Arial" w:hAnsi="Arial"/>
        <w:i/>
        <w:color w:themeColor="accent2" w:themeTint="96" w:val="DA9896"/>
        <w:sz w:val="22"/>
        <w14:textFill>
          <w14:solidFill>
            <w14:schemeClr w14:val="accent2">
              <w14:lumMod w14:val="59000"/>
              <w14:lumOff w14:val="41000"/>
            </w14:schemeClr>
          </w14:solidFill>
        </w14:textFill>
      </w:rPr>
      <w:tblPr/>
      <w:tcPr>
        <w:tcBorders>
          <w:top w:val="nil"/>
          <w:left w:val="nil"/>
          <w:bottom w:color="D99795" w:space="0" w:sz="4" w:themeColor="accent2" w:themeTint="97" w:val="single"/>
          <w:right w:val="nil"/>
        </w:tcBorders>
        <w:shd w:color="FFFFFF" w:fill="FFFFFF" w:themeFill="light1" w:val="clear"/>
      </w:tcPr>
    </w:tblStylePr>
    <w:tblStylePr w:type="lastRow">
      <w:pPr>
        <w:snapToGrid/>
      </w:pPr>
      <w:rPr>
        <w:rFonts w:ascii="Arial" w:hAnsi="Arial"/>
        <w:i/>
        <w:color w:themeColor="accent2" w:themeTint="96" w:val="DA9896"/>
        <w:sz w:val="22"/>
        <w14:textFill>
          <w14:solidFill>
            <w14:schemeClr w14:val="accent2">
              <w14:lumMod w14:val="59000"/>
              <w14:lumOff w14:val="41000"/>
            </w14:schemeClr>
          </w14:solidFill>
        </w14:textFill>
      </w:rPr>
      <w:tblPr/>
      <w:tcPr>
        <w:tcBorders>
          <w:top w:color="D99795" w:space="0" w:sz="4" w:themeColor="accent2" w:themeTint="97" w:val="single"/>
          <w:left w:val="nil"/>
          <w:bottom w:val="nil"/>
          <w:right w:val="nil"/>
        </w:tcBorders>
        <w:shd w:color="FFFFFF" w:fill="FFFFFF" w:themeFill="light1" w:val="clear"/>
      </w:tcPr>
    </w:tblStylePr>
    <w:tblStylePr w:type="firstCol">
      <w:pPr>
        <w:snapToGrid/>
        <w:jc w:val="right"/>
      </w:pPr>
      <w:rPr>
        <w:rFonts w:ascii="Arial" w:hAnsi="Arial"/>
        <w:i/>
        <w:color w:themeColor="accent2" w:themeTint="96" w:val="DA9896"/>
        <w:sz w:val="22"/>
        <w14:textFill>
          <w14:solidFill>
            <w14:schemeClr w14:val="accent2">
              <w14:lumMod w14:val="59000"/>
              <w14:lumOff w14:val="41000"/>
            </w14:schemeClr>
          </w14:solidFill>
        </w14:textFill>
      </w:rPr>
      <w:tblPr/>
      <w:tcPr>
        <w:tcBorders>
          <w:top w:val="nil"/>
          <w:left w:val="nil"/>
          <w:bottom w:val="nil"/>
          <w:right w:color="D99795" w:space="0" w:sz="4" w:themeColor="accent2" w:themeTint="97" w:val="single"/>
        </w:tcBorders>
        <w:shd w:color="FFFFFF" w:fill="FFFFFF" w:val="clear"/>
      </w:tcPr>
    </w:tblStylePr>
    <w:tblStylePr w:type="lastCol">
      <w:pPr>
        <w:snapToGrid/>
      </w:pPr>
      <w:rPr>
        <w:rFonts w:ascii="Arial" w:hAnsi="Arial"/>
        <w:i/>
        <w:color w:themeColor="accent2" w:themeTint="96" w:val="DA9896"/>
        <w:sz w:val="22"/>
        <w14:textFill>
          <w14:solidFill>
            <w14:schemeClr w14:val="accent2">
              <w14:lumMod w14:val="59000"/>
              <w14:lumOff w14:val="41000"/>
            </w14:schemeClr>
          </w14:solidFill>
        </w14:textFill>
      </w:rPr>
      <w:tblPr/>
      <w:tcPr>
        <w:tcBorders>
          <w:top w:val="nil"/>
          <w:left w:color="D99795" w:space="0" w:sz="4" w:themeColor="accent2" w:themeTint="97" w:val="single"/>
          <w:bottom w:val="nil"/>
          <w:right w:val="nil"/>
        </w:tcBorders>
        <w:shd w:color="FFFFFF" w:fill="FFFFFF" w:val="clear"/>
      </w:tcPr>
    </w:tblStylePr>
    <w:tblStylePr w:type="band1Vert">
      <w:pPr>
        <w:snapToGrid/>
      </w:pPr>
      <w:tblPr/>
      <w:tcPr>
        <w:shd w:color="FFFFFF" w:fill="EFD3D2" w:themeFill="accent2" w:themeFillTint="40" w:val="clear"/>
      </w:tcPr>
    </w:tblStylePr>
    <w:tblStylePr w:type="band2Vert">
      <w:pPr>
        <w:snapToGrid/>
      </w:pPr>
    </w:tblStylePr>
    <w:tblStylePr w:type="band1Horz">
      <w:pPr>
        <w:snapToGrid/>
      </w:pPr>
      <w:rPr>
        <w:rFonts w:ascii="Arial" w:hAnsi="Arial"/>
        <w:color w:themeColor="accent2" w:themeTint="96" w:val="DA9896"/>
        <w:sz w:val="22"/>
        <w14:textFill>
          <w14:solidFill>
            <w14:schemeClr w14:val="accent2">
              <w14:lumMod w14:val="59000"/>
              <w14:lumOff w14:val="41000"/>
            </w14:schemeClr>
          </w14:solidFill>
        </w14:textFill>
      </w:rPr>
      <w:tblPr/>
      <w:tcPr>
        <w:shd w:color="FFFFFF" w:fill="EFD3D2" w:themeFill="accent2" w:themeFillTint="40" w:val="clear"/>
      </w:tcPr>
    </w:tblStylePr>
    <w:tblStylePr w:type="band2Horz">
      <w:pPr>
        <w:snapToGrid/>
      </w:pPr>
      <w:rPr>
        <w:rFonts w:ascii="Arial" w:hAnsi="Arial"/>
        <w:color w:themeColor="accent2" w:themeTint="96" w:val="DA9896"/>
        <w:sz w:val="22"/>
        <w14:textFill>
          <w14:solidFill>
            <w14:schemeClr w14:val="accent2">
              <w14:lumMod w14:val="59000"/>
              <w14:lumOff w14:val="41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3" w:type="table">
    <w:name w:val="List Table 7 Colorful - Accent 3"/>
    <w:basedOn w:val="TableNormal"/>
    <w:uiPriority w:val="99"/>
    <w:qFormat/>
    <w:tblPr>
      <w:tblBorders>
        <w:right w:color="C3D69C" w:space="0" w:sz="4" w:themeColor="accent3" w:themeTint="98" w:val="single"/>
      </w:tblBorders>
    </w:tblPr>
    <w:tblStylePr w:type="firstRow">
      <w:pPr>
        <w:snapToGrid/>
      </w:pPr>
      <w:rPr>
        <w:rFonts w:ascii="Arial" w:hAnsi="Arial"/>
        <w:i/>
        <w:color w:themeColor="accent3" w:themeTint="99" w:val="C3D69B"/>
        <w:sz w:val="22"/>
        <w14:textFill>
          <w14:solidFill>
            <w14:schemeClr w14:val="accent3">
              <w14:lumMod w14:val="60000"/>
              <w14:lumOff w14:val="40000"/>
            </w14:schemeClr>
          </w14:solidFill>
        </w14:textFill>
      </w:rPr>
      <w:tblPr/>
      <w:tcPr>
        <w:tcBorders>
          <w:top w:val="nil"/>
          <w:left w:val="nil"/>
          <w:bottom w:color="C3D69C" w:space="0" w:sz="4" w:themeColor="accent3" w:themeTint="98" w:val="single"/>
          <w:right w:val="nil"/>
        </w:tcBorders>
        <w:shd w:color="FFFFFF" w:fill="FFFFFF" w:themeFill="light1" w:val="clear"/>
      </w:tcPr>
    </w:tblStylePr>
    <w:tblStylePr w:type="lastRow">
      <w:pPr>
        <w:snapToGrid/>
      </w:pPr>
      <w:rPr>
        <w:rFonts w:ascii="Arial" w:hAnsi="Arial"/>
        <w:i/>
        <w:color w:themeColor="accent3" w:themeTint="99" w:val="C3D69B"/>
        <w:sz w:val="22"/>
        <w14:textFill>
          <w14:solidFill>
            <w14:schemeClr w14:val="accent3">
              <w14:lumMod w14:val="60000"/>
              <w14:lumOff w14:val="40000"/>
            </w14:schemeClr>
          </w14:solidFill>
        </w14:textFill>
      </w:rPr>
      <w:tblPr/>
      <w:tcPr>
        <w:tcBorders>
          <w:top w:color="C3D69C" w:space="0" w:sz="4" w:themeColor="accent3" w:themeTint="98" w:val="single"/>
          <w:left w:val="nil"/>
          <w:bottom w:val="nil"/>
          <w:right w:val="nil"/>
        </w:tcBorders>
        <w:shd w:color="FFFFFF" w:fill="FFFFFF" w:themeFill="light1" w:val="clear"/>
      </w:tcPr>
    </w:tblStylePr>
    <w:tblStylePr w:type="firstCol">
      <w:pPr>
        <w:snapToGrid/>
        <w:jc w:val="right"/>
      </w:pPr>
      <w:rPr>
        <w:rFonts w:ascii="Arial" w:hAnsi="Arial"/>
        <w:i/>
        <w:color w:themeColor="accent3" w:themeTint="99" w:val="C3D69B"/>
        <w:sz w:val="22"/>
        <w14:textFill>
          <w14:solidFill>
            <w14:schemeClr w14:val="accent3">
              <w14:lumMod w14:val="60000"/>
              <w14:lumOff w14:val="40000"/>
            </w14:schemeClr>
          </w14:solidFill>
        </w14:textFill>
      </w:rPr>
      <w:tblPr/>
      <w:tcPr>
        <w:tcBorders>
          <w:top w:val="nil"/>
          <w:left w:val="nil"/>
          <w:bottom w:val="nil"/>
          <w:right w:color="C3D69C" w:space="0" w:sz="4" w:themeColor="accent3" w:themeTint="98" w:val="single"/>
        </w:tcBorders>
        <w:shd w:color="FFFFFF" w:fill="FFFFFF" w:val="clear"/>
      </w:tcPr>
    </w:tblStylePr>
    <w:tblStylePr w:type="lastCol">
      <w:pPr>
        <w:snapToGrid/>
      </w:pPr>
      <w:rPr>
        <w:rFonts w:ascii="Arial" w:hAnsi="Arial"/>
        <w:i/>
        <w:color w:themeColor="accent3" w:themeTint="99" w:val="C3D69B"/>
        <w:sz w:val="22"/>
        <w14:textFill>
          <w14:solidFill>
            <w14:schemeClr w14:val="accent3">
              <w14:lumMod w14:val="60000"/>
              <w14:lumOff w14:val="40000"/>
            </w14:schemeClr>
          </w14:solidFill>
        </w14:textFill>
      </w:rPr>
      <w:tblPr/>
      <w:tcPr>
        <w:tcBorders>
          <w:top w:val="nil"/>
          <w:left w:color="C3D69C" w:space="0" w:sz="4" w:themeColor="accent3" w:themeTint="98" w:val="single"/>
          <w:bottom w:val="nil"/>
          <w:right w:val="nil"/>
        </w:tcBorders>
        <w:shd w:color="FFFFFF" w:fill="FFFFFF" w:val="clear"/>
      </w:tcPr>
    </w:tblStylePr>
    <w:tblStylePr w:type="band1Vert">
      <w:pPr>
        <w:snapToGrid/>
      </w:pPr>
      <w:tblPr/>
      <w:tcPr>
        <w:shd w:color="FFFFFF" w:fill="E5EDD5" w:themeFill="accent3" w:themeFillTint="40" w:val="clear"/>
      </w:tcPr>
    </w:tblStylePr>
    <w:tblStylePr w:type="band2Vert">
      <w:pPr>
        <w:snapToGrid/>
      </w:pPr>
    </w:tblStylePr>
    <w:tblStylePr w:type="band1Horz">
      <w:pPr>
        <w:snapToGrid/>
      </w:pPr>
      <w:rPr>
        <w:rFonts w:ascii="Arial" w:hAnsi="Arial"/>
        <w:color w:themeColor="accent3" w:themeTint="99" w:val="C3D69B"/>
        <w:sz w:val="22"/>
        <w14:textFill>
          <w14:solidFill>
            <w14:schemeClr w14:val="accent3">
              <w14:lumMod w14:val="60000"/>
              <w14:lumOff w14:val="40000"/>
            </w14:schemeClr>
          </w14:solidFill>
        </w14:textFill>
      </w:rPr>
      <w:tblPr/>
      <w:tcPr>
        <w:shd w:color="FFFFFF" w:fill="E5EDD5" w:themeFill="accent3" w:themeFillTint="40" w:val="clear"/>
      </w:tcPr>
    </w:tblStylePr>
    <w:tblStylePr w:type="band2Horz">
      <w:pPr>
        <w:snapToGrid/>
      </w:pPr>
      <w:rPr>
        <w:rFonts w:ascii="Arial" w:hAnsi="Arial"/>
        <w:color w:themeColor="accent3" w:themeTint="99" w:val="C3D69B"/>
        <w:sz w:val="22"/>
        <w14:textFill>
          <w14:solidFill>
            <w14:schemeClr w14:val="accent3">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4" w:type="table">
    <w:name w:val="List Table 7 Colorful - Accent 4"/>
    <w:basedOn w:val="TableNormal"/>
    <w:uiPriority w:val="99"/>
    <w:qFormat/>
    <w:tblPr>
      <w:tblBorders>
        <w:right w:color="B2A1C6" w:space="0" w:sz="4" w:themeColor="accent4" w:themeTint="9A" w:val="single"/>
      </w:tblBorders>
    </w:tblPr>
    <w:tblStylePr w:type="firstRow">
      <w:pPr>
        <w:snapToGrid/>
      </w:pPr>
      <w:rPr>
        <w:rFonts w:ascii="Arial" w:hAnsi="Arial"/>
        <w:i/>
        <w:color w:themeColor="accent4" w:themeTint="99" w:val="B3A2C7"/>
        <w:sz w:val="22"/>
        <w14:textFill>
          <w14:solidFill>
            <w14:schemeClr w14:val="accent4">
              <w14:lumMod w14:val="60000"/>
              <w14:lumOff w14:val="40000"/>
            </w14:schemeClr>
          </w14:solidFill>
        </w14:textFill>
      </w:rPr>
      <w:tblPr/>
      <w:tcPr>
        <w:tcBorders>
          <w:top w:val="nil"/>
          <w:left w:val="nil"/>
          <w:bottom w:color="B2A1C6" w:space="0" w:sz="4" w:themeColor="accent4" w:themeTint="9A" w:val="single"/>
          <w:right w:val="nil"/>
        </w:tcBorders>
        <w:shd w:color="FFFFFF" w:fill="FFFFFF" w:themeFill="light1" w:val="clear"/>
      </w:tcPr>
    </w:tblStylePr>
    <w:tblStylePr w:type="lastRow">
      <w:pPr>
        <w:snapToGrid/>
      </w:pPr>
      <w:rPr>
        <w:rFonts w:ascii="Arial" w:hAnsi="Arial"/>
        <w:i/>
        <w:color w:themeColor="accent4" w:themeTint="99" w:val="B3A2C7"/>
        <w:sz w:val="22"/>
        <w14:textFill>
          <w14:solidFill>
            <w14:schemeClr w14:val="accent4">
              <w14:lumMod w14:val="60000"/>
              <w14:lumOff w14:val="40000"/>
            </w14:schemeClr>
          </w14:solidFill>
        </w14:textFill>
      </w:rPr>
      <w:tblPr/>
      <w:tcPr>
        <w:tcBorders>
          <w:top w:color="B2A1C6" w:space="0" w:sz="4" w:themeColor="accent4" w:themeTint="9A" w:val="single"/>
          <w:left w:val="nil"/>
          <w:bottom w:val="nil"/>
          <w:right w:val="nil"/>
        </w:tcBorders>
        <w:shd w:color="FFFFFF" w:fill="FFFFFF" w:themeFill="light1" w:val="clear"/>
      </w:tcPr>
    </w:tblStylePr>
    <w:tblStylePr w:type="firstCol">
      <w:pPr>
        <w:snapToGrid/>
        <w:jc w:val="right"/>
      </w:pPr>
      <w:rPr>
        <w:rFonts w:ascii="Arial" w:hAnsi="Arial"/>
        <w:i/>
        <w:color w:themeColor="accent4" w:themeTint="99" w:val="B3A2C7"/>
        <w:sz w:val="22"/>
        <w14:textFill>
          <w14:solidFill>
            <w14:schemeClr w14:val="accent4">
              <w14:lumMod w14:val="60000"/>
              <w14:lumOff w14:val="40000"/>
            </w14:schemeClr>
          </w14:solidFill>
        </w14:textFill>
      </w:rPr>
      <w:tblPr/>
      <w:tcPr>
        <w:tcBorders>
          <w:top w:val="nil"/>
          <w:left w:val="nil"/>
          <w:bottom w:val="nil"/>
          <w:right w:color="B2A1C6" w:space="0" w:sz="4" w:themeColor="accent4" w:themeTint="9A" w:val="single"/>
        </w:tcBorders>
        <w:shd w:color="FFFFFF" w:fill="FFFFFF" w:val="clear"/>
      </w:tcPr>
    </w:tblStylePr>
    <w:tblStylePr w:type="lastCol">
      <w:pPr>
        <w:snapToGrid/>
      </w:pPr>
      <w:rPr>
        <w:rFonts w:ascii="Arial" w:hAnsi="Arial"/>
        <w:i/>
        <w:color w:themeColor="accent4" w:themeTint="99" w:val="B3A2C7"/>
        <w:sz w:val="22"/>
        <w14:textFill>
          <w14:solidFill>
            <w14:schemeClr w14:val="accent4">
              <w14:lumMod w14:val="60000"/>
              <w14:lumOff w14:val="40000"/>
            </w14:schemeClr>
          </w14:solidFill>
        </w14:textFill>
      </w:rPr>
      <w:tblPr/>
      <w:tcPr>
        <w:tcBorders>
          <w:top w:val="nil"/>
          <w:left w:color="B2A1C6" w:space="0" w:sz="4" w:themeColor="accent4" w:themeTint="9A" w:val="single"/>
          <w:bottom w:val="nil"/>
          <w:right w:val="nil"/>
        </w:tcBorders>
        <w:shd w:color="FFFFFF" w:fill="FFFFFF" w:val="clear"/>
      </w:tcPr>
    </w:tblStylePr>
    <w:tblStylePr w:type="band1Vert">
      <w:pPr>
        <w:snapToGrid/>
      </w:pPr>
      <w:tblPr/>
      <w:tcPr>
        <w:shd w:color="FFFFFF" w:fill="DFD8E7" w:themeFill="accent4" w:themeFillTint="40" w:val="clear"/>
      </w:tcPr>
    </w:tblStylePr>
    <w:tblStylePr w:type="band2Vert">
      <w:pPr>
        <w:snapToGrid/>
      </w:pPr>
    </w:tblStylePr>
    <w:tblStylePr w:type="band1Horz">
      <w:pPr>
        <w:snapToGrid/>
      </w:pPr>
      <w:rPr>
        <w:rFonts w:ascii="Arial" w:hAnsi="Arial"/>
        <w:color w:themeColor="accent4" w:themeTint="99" w:val="B3A2C7"/>
        <w:sz w:val="22"/>
        <w14:textFill>
          <w14:solidFill>
            <w14:schemeClr w14:val="accent4">
              <w14:lumMod w14:val="60000"/>
              <w14:lumOff w14:val="40000"/>
            </w14:schemeClr>
          </w14:solidFill>
        </w14:textFill>
      </w:rPr>
      <w:tblPr/>
      <w:tcPr>
        <w:shd w:color="FFFFFF" w:fill="DFD8E7" w:themeFill="accent4" w:themeFillTint="40" w:val="clear"/>
      </w:tcPr>
    </w:tblStylePr>
    <w:tblStylePr w:type="band2Horz">
      <w:pPr>
        <w:snapToGrid/>
      </w:pPr>
      <w:rPr>
        <w:rFonts w:ascii="Arial" w:hAnsi="Arial"/>
        <w:color w:themeColor="accent4" w:themeTint="99" w:val="B3A2C7"/>
        <w:sz w:val="22"/>
        <w14:textFill>
          <w14:solidFill>
            <w14:schemeClr w14:val="accent4">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5" w:type="table">
    <w:name w:val="List Table 7 Colorful - Accent 5"/>
    <w:basedOn w:val="TableNormal"/>
    <w:uiPriority w:val="99"/>
    <w:qFormat/>
    <w:tblPr>
      <w:tblBorders>
        <w:right w:color="92CCDC" w:space="0" w:sz="4" w:themeColor="accent5" w:themeTint="9A" w:val="single"/>
      </w:tblBorders>
    </w:tblPr>
    <w:tblStylePr w:type="firstRow">
      <w:pPr>
        <w:snapToGrid/>
      </w:pPr>
      <w:rPr>
        <w:rFonts w:ascii="Arial" w:hAnsi="Arial"/>
        <w:i/>
        <w:color w:themeColor="accent5" w:themeTint="99" w:val="93CDDD"/>
        <w:sz w:val="22"/>
        <w14:textFill>
          <w14:solidFill>
            <w14:schemeClr w14:val="accent5">
              <w14:lumMod w14:val="60000"/>
              <w14:lumOff w14:val="40000"/>
            </w14:schemeClr>
          </w14:solidFill>
        </w14:textFill>
      </w:rPr>
      <w:tblPr/>
      <w:tcPr>
        <w:tcBorders>
          <w:top w:val="nil"/>
          <w:left w:val="nil"/>
          <w:bottom w:color="92CCDC" w:space="0" w:sz="4" w:themeColor="accent5" w:themeTint="9A" w:val="single"/>
          <w:right w:val="nil"/>
        </w:tcBorders>
        <w:shd w:color="FFFFFF" w:fill="FFFFFF" w:themeFill="light1" w:val="clear"/>
      </w:tcPr>
    </w:tblStylePr>
    <w:tblStylePr w:type="lastRow">
      <w:pPr>
        <w:snapToGrid/>
      </w:pPr>
      <w:rPr>
        <w:rFonts w:ascii="Arial" w:hAnsi="Arial"/>
        <w:i/>
        <w:color w:themeColor="accent5" w:themeTint="99" w:val="93CDDD"/>
        <w:sz w:val="22"/>
        <w14:textFill>
          <w14:solidFill>
            <w14:schemeClr w14:val="accent5">
              <w14:lumMod w14:val="60000"/>
              <w14:lumOff w14:val="40000"/>
            </w14:schemeClr>
          </w14:solidFill>
        </w14:textFill>
      </w:rPr>
      <w:tblPr/>
      <w:tcPr>
        <w:tcBorders>
          <w:top w:color="92CCDC" w:space="0" w:sz="4" w:themeColor="accent5" w:themeTint="9A" w:val="single"/>
          <w:left w:val="nil"/>
          <w:bottom w:val="nil"/>
          <w:right w:val="nil"/>
        </w:tcBorders>
        <w:shd w:color="FFFFFF" w:fill="FFFFFF" w:themeFill="light1" w:val="clear"/>
      </w:tcPr>
    </w:tblStylePr>
    <w:tblStylePr w:type="firstCol">
      <w:pPr>
        <w:snapToGrid/>
        <w:jc w:val="right"/>
      </w:pPr>
      <w:rPr>
        <w:rFonts w:ascii="Arial" w:hAnsi="Arial"/>
        <w:i/>
        <w:color w:themeColor="accent5" w:themeTint="99" w:val="93CDDD"/>
        <w:sz w:val="22"/>
        <w14:textFill>
          <w14:solidFill>
            <w14:schemeClr w14:val="accent5">
              <w14:lumMod w14:val="60000"/>
              <w14:lumOff w14:val="40000"/>
            </w14:schemeClr>
          </w14:solidFill>
        </w14:textFill>
      </w:rPr>
      <w:tblPr/>
      <w:tcPr>
        <w:tcBorders>
          <w:top w:val="nil"/>
          <w:left w:val="nil"/>
          <w:bottom w:val="nil"/>
          <w:right w:color="92CCDC" w:space="0" w:sz="4" w:themeColor="accent5" w:themeTint="9A" w:val="single"/>
        </w:tcBorders>
        <w:shd w:color="FFFFFF" w:fill="FFFFFF" w:val="clear"/>
      </w:tcPr>
    </w:tblStylePr>
    <w:tblStylePr w:type="lastCol">
      <w:pPr>
        <w:snapToGrid/>
      </w:pPr>
      <w:rPr>
        <w:rFonts w:ascii="Arial" w:hAnsi="Arial"/>
        <w:i/>
        <w:color w:themeColor="accent5" w:themeTint="99" w:val="93CDDD"/>
        <w:sz w:val="22"/>
        <w14:textFill>
          <w14:solidFill>
            <w14:schemeClr w14:val="accent5">
              <w14:lumMod w14:val="60000"/>
              <w14:lumOff w14:val="40000"/>
            </w14:schemeClr>
          </w14:solidFill>
        </w14:textFill>
      </w:rPr>
      <w:tblPr/>
      <w:tcPr>
        <w:tcBorders>
          <w:top w:val="nil"/>
          <w:left w:color="92CCDC" w:space="0" w:sz="4" w:themeColor="accent5" w:themeTint="9A" w:val="single"/>
          <w:bottom w:val="nil"/>
          <w:right w:val="nil"/>
        </w:tcBorders>
        <w:shd w:color="FFFFFF" w:fill="FFFFFF" w:val="clear"/>
      </w:tcPr>
    </w:tblStylePr>
    <w:tblStylePr w:type="band1Vert">
      <w:pPr>
        <w:snapToGrid/>
      </w:pPr>
      <w:tblPr/>
      <w:tcPr>
        <w:shd w:color="FFFFFF" w:fill="D1EAF0" w:themeFill="accent5" w:themeFillTint="40" w:val="clear"/>
      </w:tcPr>
    </w:tblStylePr>
    <w:tblStylePr w:type="band2Vert">
      <w:pPr>
        <w:snapToGrid/>
      </w:pPr>
    </w:tblStylePr>
    <w:tblStylePr w:type="band1Horz">
      <w:pPr>
        <w:snapToGrid/>
      </w:pPr>
      <w:rPr>
        <w:rFonts w:ascii="Arial" w:hAnsi="Arial"/>
        <w:color w:themeColor="accent5" w:themeTint="99" w:val="93CDDD"/>
        <w:sz w:val="22"/>
        <w14:textFill>
          <w14:solidFill>
            <w14:schemeClr w14:val="accent5">
              <w14:lumMod w14:val="60000"/>
              <w14:lumOff w14:val="40000"/>
            </w14:schemeClr>
          </w14:solidFill>
        </w14:textFill>
      </w:rPr>
      <w:tblPr/>
      <w:tcPr>
        <w:shd w:color="FFFFFF" w:fill="D1EAF0" w:themeFill="accent5" w:themeFillTint="40" w:val="clear"/>
      </w:tcPr>
    </w:tblStylePr>
    <w:tblStylePr w:type="band2Horz">
      <w:pPr>
        <w:snapToGrid/>
      </w:pPr>
      <w:rPr>
        <w:rFonts w:ascii="Arial" w:hAnsi="Arial"/>
        <w:color w:themeColor="accent5" w:themeTint="99" w:val="93CDDD"/>
        <w:sz w:val="22"/>
        <w14:textFill>
          <w14:solidFill>
            <w14:schemeClr w14:val="accent5">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stTable7Colorful-Accent6" w:type="table">
    <w:name w:val="List Table 7 Colorful - Accent 6"/>
    <w:basedOn w:val="TableNormal"/>
    <w:uiPriority w:val="99"/>
    <w:qFormat/>
    <w:tblPr>
      <w:tblBorders>
        <w:right w:color="FAC090" w:space="0" w:sz="4" w:themeColor="accent6" w:themeTint="98" w:val="single"/>
      </w:tblBorders>
    </w:tblPr>
    <w:tblStylePr w:type="firstRow">
      <w:pPr>
        <w:snapToGrid/>
      </w:pPr>
      <w:rPr>
        <w:rFonts w:ascii="Arial" w:hAnsi="Arial"/>
        <w:i/>
        <w:color w:themeColor="accent6" w:themeTint="99" w:val="FAC090"/>
        <w:sz w:val="22"/>
        <w14:textFill>
          <w14:solidFill>
            <w14:schemeClr w14:val="accent6">
              <w14:lumMod w14:val="60000"/>
              <w14:lumOff w14:val="40000"/>
            </w14:schemeClr>
          </w14:solidFill>
        </w14:textFill>
      </w:rPr>
      <w:tblPr/>
      <w:tcPr>
        <w:tcBorders>
          <w:top w:val="nil"/>
          <w:left w:val="nil"/>
          <w:bottom w:color="FAC090" w:space="0" w:sz="4" w:themeColor="accent6" w:themeTint="98" w:val="single"/>
          <w:right w:val="nil"/>
        </w:tcBorders>
        <w:shd w:color="FFFFFF" w:fill="FFFFFF" w:themeFill="light1" w:val="clear"/>
      </w:tcPr>
    </w:tblStylePr>
    <w:tblStylePr w:type="lastRow">
      <w:pPr>
        <w:snapToGrid/>
      </w:pPr>
      <w:rPr>
        <w:rFonts w:ascii="Arial" w:hAnsi="Arial"/>
        <w:i/>
        <w:color w:themeColor="accent6" w:themeTint="99" w:val="FAC090"/>
        <w:sz w:val="22"/>
        <w14:textFill>
          <w14:solidFill>
            <w14:schemeClr w14:val="accent6">
              <w14:lumMod w14:val="60000"/>
              <w14:lumOff w14:val="40000"/>
            </w14:schemeClr>
          </w14:solidFill>
        </w14:textFill>
      </w:rPr>
      <w:tblPr/>
      <w:tcPr>
        <w:tcBorders>
          <w:top w:color="FAC090" w:space="0" w:sz="4" w:themeColor="accent6" w:themeTint="98" w:val="single"/>
          <w:left w:val="nil"/>
          <w:bottom w:val="nil"/>
          <w:right w:val="nil"/>
        </w:tcBorders>
        <w:shd w:color="FFFFFF" w:fill="FFFFFF" w:themeFill="light1" w:val="clear"/>
      </w:tcPr>
    </w:tblStylePr>
    <w:tblStylePr w:type="firstCol">
      <w:pPr>
        <w:snapToGrid/>
        <w:jc w:val="right"/>
      </w:pPr>
      <w:rPr>
        <w:rFonts w:ascii="Arial" w:hAnsi="Arial"/>
        <w:i/>
        <w:color w:themeColor="accent6" w:themeTint="99" w:val="FAC090"/>
        <w:sz w:val="22"/>
        <w14:textFill>
          <w14:solidFill>
            <w14:schemeClr w14:val="accent6">
              <w14:lumMod w14:val="60000"/>
              <w14:lumOff w14:val="40000"/>
            </w14:schemeClr>
          </w14:solidFill>
        </w14:textFill>
      </w:rPr>
      <w:tblPr/>
      <w:tcPr>
        <w:tcBorders>
          <w:top w:val="nil"/>
          <w:left w:val="nil"/>
          <w:bottom w:val="nil"/>
          <w:right w:color="FAC090" w:space="0" w:sz="4" w:themeColor="accent6" w:themeTint="98" w:val="single"/>
        </w:tcBorders>
        <w:shd w:color="FFFFFF" w:fill="FFFFFF" w:val="clear"/>
      </w:tcPr>
    </w:tblStylePr>
    <w:tblStylePr w:type="lastCol">
      <w:pPr>
        <w:snapToGrid/>
      </w:pPr>
      <w:rPr>
        <w:rFonts w:ascii="Arial" w:hAnsi="Arial"/>
        <w:i/>
        <w:color w:themeColor="accent6" w:themeTint="99" w:val="FAC090"/>
        <w:sz w:val="22"/>
        <w14:textFill>
          <w14:solidFill>
            <w14:schemeClr w14:val="accent6">
              <w14:lumMod w14:val="60000"/>
              <w14:lumOff w14:val="40000"/>
            </w14:schemeClr>
          </w14:solidFill>
        </w14:textFill>
      </w:rPr>
      <w:tblPr/>
      <w:tcPr>
        <w:tcBorders>
          <w:top w:val="nil"/>
          <w:left w:color="FAC090" w:space="0" w:sz="4" w:themeColor="accent6" w:themeTint="98" w:val="single"/>
          <w:bottom w:val="nil"/>
          <w:right w:val="nil"/>
        </w:tcBorders>
        <w:shd w:color="FFFFFF" w:fill="FFFFFF" w:val="clear"/>
      </w:tcPr>
    </w:tblStylePr>
    <w:tblStylePr w:type="band1Vert">
      <w:pPr>
        <w:snapToGrid/>
      </w:pPr>
      <w:tblPr/>
      <w:tcPr>
        <w:shd w:color="FFFFFF" w:fill="FCE4D0" w:themeFill="accent6" w:themeFillTint="40" w:val="clear"/>
      </w:tcPr>
    </w:tblStylePr>
    <w:tblStylePr w:type="band2Vert">
      <w:pPr>
        <w:snapToGrid/>
      </w:pPr>
    </w:tblStylePr>
    <w:tblStylePr w:type="band1Horz">
      <w:pPr>
        <w:snapToGrid/>
      </w:pPr>
      <w:rPr>
        <w:rFonts w:ascii="Arial" w:hAnsi="Arial"/>
        <w:color w:themeColor="accent6" w:themeTint="99" w:val="FAC090"/>
        <w:sz w:val="22"/>
        <w14:textFill>
          <w14:solidFill>
            <w14:schemeClr w14:val="accent6">
              <w14:lumMod w14:val="60000"/>
              <w14:lumOff w14:val="40000"/>
            </w14:schemeClr>
          </w14:solidFill>
        </w14:textFill>
      </w:rPr>
      <w:tblPr/>
      <w:tcPr>
        <w:shd w:color="FFFFFF" w:fill="FCE4D0" w:themeFill="accent6" w:themeFillTint="40" w:val="clear"/>
      </w:tcPr>
    </w:tblStylePr>
    <w:tblStylePr w:type="band2Horz">
      <w:pPr>
        <w:snapToGrid/>
      </w:pPr>
      <w:rPr>
        <w:rFonts w:ascii="Arial" w:hAnsi="Arial"/>
        <w:color w:themeColor="accent6" w:themeTint="99" w:val="FAC090"/>
        <w:sz w:val="22"/>
        <w14:textFill>
          <w14:solidFill>
            <w14:schemeClr w14:val="accent6">
              <w14:lumMod w14:val="60000"/>
              <w14:lumOff w14:val="40000"/>
            </w14:schemeClr>
          </w14:solidFill>
        </w14:textFill>
      </w:r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 w:type="table">
    <w:name w:val="Lined - Accent"/>
    <w:basedOn w:val="TableNormal"/>
    <w:uiPriority w:val="99"/>
    <w:qFormat/>
    <w:rPr>
      <w:color w:val="404040"/>
    </w:rPr>
    <w:tblPr/>
    <w:tblStylePr w:type="firstRow">
      <w:pPr>
        <w:snapToGrid/>
      </w:pPr>
      <w:rPr>
        <w:rFonts w:ascii="Arial" w:hAnsi="Arial"/>
        <w:color w:val="F2F2F2"/>
        <w:sz w:val="22"/>
      </w:rPr>
      <w:tblPr/>
      <w:tcPr>
        <w:shd w:color="FFFFFF" w:fill="7E7E7E" w:themeFill="text1" w:themeFillTint="80" w:val="clear"/>
      </w:tcPr>
    </w:tblStylePr>
    <w:tblStylePr w:type="lastRow">
      <w:pPr>
        <w:snapToGrid/>
      </w:pPr>
      <w:rPr>
        <w:rFonts w:ascii="Arial" w:hAnsi="Arial"/>
        <w:color w:val="F2F2F2"/>
        <w:sz w:val="22"/>
      </w:rPr>
      <w:tblPr/>
      <w:tcPr>
        <w:shd w:color="FFFFFF" w:fill="7E7E7E" w:themeFill="text1" w:themeFillTint="80" w:val="clear"/>
      </w:tcPr>
    </w:tblStylePr>
    <w:tblStylePr w:type="firstCol">
      <w:pPr>
        <w:snapToGrid/>
      </w:pPr>
      <w:rPr>
        <w:rFonts w:ascii="Arial" w:hAnsi="Arial"/>
        <w:color w:val="F2F2F2"/>
        <w:sz w:val="22"/>
      </w:rPr>
      <w:tblPr/>
      <w:tcPr>
        <w:shd w:color="FFFFFF" w:fill="7E7E7E" w:themeFill="text1" w:themeFillTint="80" w:val="clear"/>
      </w:tcPr>
    </w:tblStylePr>
    <w:tblStylePr w:type="lastCol">
      <w:pPr>
        <w:snapToGrid/>
      </w:pPr>
      <w:rPr>
        <w:rFonts w:ascii="Arial" w:hAnsi="Arial"/>
        <w:color w:val="F2F2F2"/>
        <w:sz w:val="22"/>
      </w:rPr>
      <w:tblPr/>
      <w:tcPr>
        <w:shd w:color="FFFFFF" w:fill="7E7E7E" w:themeFill="text1" w:themeFillTint="80"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1F1F1" w:themeFill="text1" w:themeFillTint="0D"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1F1F1" w:themeFill="text1" w:themeFillTint="0D"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1" w:type="table">
    <w:name w:val="Lined - Accent 1"/>
    <w:basedOn w:val="TableNormal"/>
    <w:uiPriority w:val="99"/>
    <w:qFormat/>
    <w:rPr>
      <w:color w:val="404040"/>
    </w:rPr>
    <w:tblPr/>
    <w:tblStylePr w:type="firstRow">
      <w:pPr>
        <w:snapToGrid/>
      </w:pPr>
      <w:rPr>
        <w:rFonts w:ascii="Arial" w:hAnsi="Arial"/>
        <w:color w:val="F2F2F2"/>
        <w:sz w:val="22"/>
      </w:rPr>
      <w:tblPr/>
      <w:tcPr>
        <w:shd w:color="FFFFFF" w:fill="5D8BC2" w:themeFill="accent1" w:themeFillTint="EA" w:val="clear"/>
      </w:tcPr>
    </w:tblStylePr>
    <w:tblStylePr w:type="lastRow">
      <w:pPr>
        <w:snapToGrid/>
      </w:pPr>
      <w:rPr>
        <w:rFonts w:ascii="Arial" w:hAnsi="Arial"/>
        <w:color w:val="F2F2F2"/>
        <w:sz w:val="22"/>
      </w:rPr>
      <w:tblPr/>
      <w:tcPr>
        <w:shd w:color="FFFFFF" w:fill="5D8BC2" w:themeFill="accent1" w:themeFillTint="EA" w:val="clear"/>
      </w:tcPr>
    </w:tblStylePr>
    <w:tblStylePr w:type="firstCol">
      <w:pPr>
        <w:snapToGrid/>
      </w:pPr>
      <w:rPr>
        <w:rFonts w:ascii="Arial" w:hAnsi="Arial"/>
        <w:color w:val="F2F2F2"/>
        <w:sz w:val="22"/>
      </w:rPr>
      <w:tblPr/>
      <w:tcPr>
        <w:shd w:color="FFFFFF" w:fill="5D8BC2" w:themeFill="accent1" w:themeFillTint="EA" w:val="clear"/>
      </w:tcPr>
    </w:tblStylePr>
    <w:tblStylePr w:type="lastCol">
      <w:pPr>
        <w:snapToGrid/>
      </w:pPr>
      <w:rPr>
        <w:rFonts w:ascii="Arial" w:hAnsi="Arial"/>
        <w:color w:val="F2F2F2"/>
        <w:sz w:val="22"/>
      </w:rPr>
      <w:tblPr/>
      <w:tcPr>
        <w:shd w:color="FFFFFF" w:fill="5D8BC2" w:themeFill="accent1" w:themeFillTint="EA"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C7D7EA" w:themeFill="accent1" w:themeFillTint="50"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C7D7EA" w:themeFill="accent1" w:themeFillTint="50"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2" w:type="table">
    <w:name w:val="Lined - Accent 2"/>
    <w:basedOn w:val="TableNormal"/>
    <w:uiPriority w:val="99"/>
    <w:qFormat/>
    <w:rPr>
      <w:color w:val="404040"/>
    </w:rPr>
    <w:tblPr/>
    <w:tblStylePr w:type="firstRow">
      <w:pPr>
        <w:snapToGrid/>
      </w:pPr>
      <w:rPr>
        <w:rFonts w:ascii="Arial" w:hAnsi="Arial"/>
        <w:color w:val="F2F2F2"/>
        <w:sz w:val="22"/>
      </w:rPr>
      <w:tblPr/>
      <w:tcPr>
        <w:shd w:color="FFFFFF" w:fill="D99795" w:themeFill="accent2" w:themeFillTint="97" w:val="clear"/>
      </w:tcPr>
    </w:tblStylePr>
    <w:tblStylePr w:type="lastRow">
      <w:pPr>
        <w:snapToGrid/>
      </w:pPr>
      <w:rPr>
        <w:rFonts w:ascii="Arial" w:hAnsi="Arial"/>
        <w:color w:val="F2F2F2"/>
        <w:sz w:val="22"/>
      </w:rPr>
      <w:tblPr/>
      <w:tcPr>
        <w:shd w:color="FFFFFF" w:fill="D99795" w:themeFill="accent2" w:themeFillTint="97" w:val="clear"/>
      </w:tcPr>
    </w:tblStylePr>
    <w:tblStylePr w:type="firstCol">
      <w:pPr>
        <w:snapToGrid/>
      </w:pPr>
      <w:rPr>
        <w:rFonts w:ascii="Arial" w:hAnsi="Arial"/>
        <w:color w:val="F2F2F2"/>
        <w:sz w:val="22"/>
      </w:rPr>
      <w:tblPr/>
      <w:tcPr>
        <w:shd w:color="FFFFFF" w:fill="D99795" w:themeFill="accent2" w:themeFillTint="97" w:val="clear"/>
      </w:tcPr>
    </w:tblStylePr>
    <w:tblStylePr w:type="lastCol">
      <w:pPr>
        <w:snapToGrid/>
      </w:pPr>
      <w:rPr>
        <w:rFonts w:ascii="Arial" w:hAnsi="Arial"/>
        <w:color w:val="F2F2F2"/>
        <w:sz w:val="22"/>
      </w:rPr>
      <w:tblPr/>
      <w:tcPr>
        <w:shd w:color="FFFFFF" w:fill="D99795" w:themeFill="accent2" w:themeFillTint="97"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2DCDC" w:themeFill="accent2" w:themeFillTint="32"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2DCDC" w:themeFill="accent2" w:themeFillTint="32"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3" w:type="table">
    <w:name w:val="Lined - Accent 3"/>
    <w:basedOn w:val="TableNormal"/>
    <w:uiPriority w:val="99"/>
    <w:qFormat/>
    <w:rPr>
      <w:color w:val="404040"/>
    </w:rPr>
    <w:tblPr/>
    <w:tblStylePr w:type="firstRow">
      <w:pPr>
        <w:snapToGrid/>
      </w:pPr>
      <w:rPr>
        <w:rFonts w:ascii="Arial" w:hAnsi="Arial"/>
        <w:color w:val="F2F2F2"/>
        <w:sz w:val="22"/>
      </w:rPr>
      <w:tblPr/>
      <w:tcPr>
        <w:shd w:color="FFFFFF" w:fill="9BBB59" w:themeFill="accent3" w:themeFillTint="FE" w:val="clear"/>
      </w:tcPr>
    </w:tblStylePr>
    <w:tblStylePr w:type="lastRow">
      <w:pPr>
        <w:snapToGrid/>
      </w:pPr>
      <w:rPr>
        <w:rFonts w:ascii="Arial" w:hAnsi="Arial"/>
        <w:color w:val="F2F2F2"/>
        <w:sz w:val="22"/>
      </w:rPr>
      <w:tblPr/>
      <w:tcPr>
        <w:shd w:color="FFFFFF" w:fill="9BBB59" w:themeFill="accent3" w:themeFillTint="FE" w:val="clear"/>
      </w:tcPr>
    </w:tblStylePr>
    <w:tblStylePr w:type="firstCol">
      <w:pPr>
        <w:snapToGrid/>
      </w:pPr>
      <w:rPr>
        <w:rFonts w:ascii="Arial" w:hAnsi="Arial"/>
        <w:color w:val="F2F2F2"/>
        <w:sz w:val="22"/>
      </w:rPr>
      <w:tblPr/>
      <w:tcPr>
        <w:shd w:color="FFFFFF" w:fill="9BBB59" w:themeFill="accent3" w:themeFillTint="FE" w:val="clear"/>
      </w:tcPr>
    </w:tblStylePr>
    <w:tblStylePr w:type="lastCol">
      <w:pPr>
        <w:snapToGrid/>
      </w:pPr>
      <w:rPr>
        <w:rFonts w:ascii="Arial" w:hAnsi="Arial"/>
        <w:color w:val="F2F2F2"/>
        <w:sz w:val="22"/>
      </w:rPr>
      <w:tblPr/>
      <w:tcPr>
        <w:shd w:color="FFFFFF" w:fill="9BBB59" w:themeFill="accent3" w:themeFillTint="FE"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EAF1DD" w:themeFill="accent3"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EAF1DD" w:themeFill="accent3"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4" w:type="table">
    <w:name w:val="Lined - Accent 4"/>
    <w:basedOn w:val="TableNormal"/>
    <w:uiPriority w:val="99"/>
    <w:qFormat/>
    <w:rPr>
      <w:color w:val="404040"/>
    </w:rPr>
    <w:tblPr/>
    <w:tblStylePr w:type="firstRow">
      <w:pPr>
        <w:snapToGrid/>
      </w:pPr>
      <w:rPr>
        <w:rFonts w:ascii="Arial" w:hAnsi="Arial"/>
        <w:color w:val="F2F2F2"/>
        <w:sz w:val="22"/>
      </w:rPr>
      <w:tblPr/>
      <w:tcPr>
        <w:shd w:color="FFFFFF" w:fill="B2A1C6" w:themeFill="accent4" w:themeFillTint="9A" w:val="clear"/>
      </w:tcPr>
    </w:tblStylePr>
    <w:tblStylePr w:type="lastRow">
      <w:pPr>
        <w:snapToGrid/>
      </w:pPr>
      <w:rPr>
        <w:rFonts w:ascii="Arial" w:hAnsi="Arial"/>
        <w:color w:val="F2F2F2"/>
        <w:sz w:val="22"/>
      </w:rPr>
      <w:tblPr/>
      <w:tcPr>
        <w:shd w:color="FFFFFF" w:fill="B2A1C6" w:themeFill="accent4" w:themeFillTint="9A" w:val="clear"/>
      </w:tcPr>
    </w:tblStylePr>
    <w:tblStylePr w:type="firstCol">
      <w:pPr>
        <w:snapToGrid/>
      </w:pPr>
      <w:rPr>
        <w:rFonts w:ascii="Arial" w:hAnsi="Arial"/>
        <w:color w:val="F2F2F2"/>
        <w:sz w:val="22"/>
      </w:rPr>
      <w:tblPr/>
      <w:tcPr>
        <w:shd w:color="FFFFFF" w:fill="B2A1C6" w:themeFill="accent4" w:themeFillTint="9A" w:val="clear"/>
      </w:tcPr>
    </w:tblStylePr>
    <w:tblStylePr w:type="lastCol">
      <w:pPr>
        <w:snapToGrid/>
      </w:pPr>
      <w:rPr>
        <w:rFonts w:ascii="Arial" w:hAnsi="Arial"/>
        <w:color w:val="F2F2F2"/>
        <w:sz w:val="22"/>
      </w:rPr>
      <w:tblPr/>
      <w:tcPr>
        <w:shd w:color="FFFFFF" w:fill="B2A1C6" w:themeFill="accent4" w:themeFillTint="9A"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E5DFEC" w:themeFill="accent4"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E5DFEC" w:themeFill="accent4"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5" w:type="table">
    <w:name w:val="Lined - Accent 5"/>
    <w:basedOn w:val="TableNormal"/>
    <w:uiPriority w:val="99"/>
    <w:qFormat/>
    <w:rPr>
      <w:color w:val="404040"/>
    </w:rPr>
    <w:tblPr/>
    <w:tblStylePr w:type="firstRow">
      <w:pPr>
        <w:snapToGrid/>
      </w:pPr>
      <w:rPr>
        <w:rFonts w:ascii="Arial" w:hAnsi="Arial"/>
        <w:color w:val="F2F2F2"/>
        <w:sz w:val="22"/>
      </w:rPr>
      <w:tblPr/>
      <w:tcPr>
        <w:shd w:color="FFFFFF" w:fill="4BACC6" w:themeFill="accent5" w:val="clear"/>
      </w:tcPr>
    </w:tblStylePr>
    <w:tblStylePr w:type="lastRow">
      <w:pPr>
        <w:snapToGrid/>
      </w:pPr>
      <w:rPr>
        <w:rFonts w:ascii="Arial" w:hAnsi="Arial"/>
        <w:color w:val="F2F2F2"/>
        <w:sz w:val="22"/>
      </w:rPr>
      <w:tblPr/>
      <w:tcPr>
        <w:shd w:color="FFFFFF" w:fill="4BACC6" w:themeFill="accent5" w:val="clear"/>
      </w:tcPr>
    </w:tblStylePr>
    <w:tblStylePr w:type="firstCol">
      <w:pPr>
        <w:snapToGrid/>
      </w:pPr>
      <w:rPr>
        <w:rFonts w:ascii="Arial" w:hAnsi="Arial"/>
        <w:color w:val="F2F2F2"/>
        <w:sz w:val="22"/>
      </w:rPr>
      <w:tblPr/>
      <w:tcPr>
        <w:shd w:color="FFFFFF" w:fill="4BACC6" w:themeFill="accent5" w:val="clear"/>
      </w:tcPr>
    </w:tblStylePr>
    <w:tblStylePr w:type="lastCol">
      <w:pPr>
        <w:snapToGrid/>
      </w:pPr>
      <w:rPr>
        <w:rFonts w:ascii="Arial" w:hAnsi="Arial"/>
        <w:color w:val="F2F2F2"/>
        <w:sz w:val="22"/>
      </w:rPr>
      <w:tblPr/>
      <w:tcPr>
        <w:shd w:color="FFFFFF" w:fill="4BACC6" w:themeFill="accent5"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DAEEF3" w:themeFill="accent5"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DAEEF3" w:themeFill="accent5"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Lined-Accent6" w:type="table">
    <w:name w:val="Lined - Accent 6"/>
    <w:basedOn w:val="TableNormal"/>
    <w:uiPriority w:val="99"/>
    <w:qFormat/>
    <w:rPr>
      <w:color w:val="404040"/>
    </w:rPr>
    <w:tblPr/>
    <w:tblStylePr w:type="firstRow">
      <w:pPr>
        <w:snapToGrid/>
      </w:pPr>
      <w:rPr>
        <w:rFonts w:ascii="Arial" w:hAnsi="Arial"/>
        <w:color w:val="F2F2F2"/>
        <w:sz w:val="22"/>
      </w:rPr>
      <w:tblPr/>
      <w:tcPr>
        <w:shd w:color="FFFFFF" w:fill="F79646" w:themeFill="accent6" w:val="clear"/>
      </w:tcPr>
    </w:tblStylePr>
    <w:tblStylePr w:type="lastRow">
      <w:pPr>
        <w:snapToGrid/>
      </w:pPr>
      <w:rPr>
        <w:rFonts w:ascii="Arial" w:hAnsi="Arial"/>
        <w:color w:val="F2F2F2"/>
        <w:sz w:val="22"/>
      </w:rPr>
      <w:tblPr/>
      <w:tcPr>
        <w:shd w:color="FFFFFF" w:fill="F79646" w:themeFill="accent6" w:val="clear"/>
      </w:tcPr>
    </w:tblStylePr>
    <w:tblStylePr w:type="firstCol">
      <w:pPr>
        <w:snapToGrid/>
      </w:pPr>
      <w:rPr>
        <w:rFonts w:ascii="Arial" w:hAnsi="Arial"/>
        <w:color w:val="F2F2F2"/>
        <w:sz w:val="22"/>
      </w:rPr>
      <w:tblPr/>
      <w:tcPr>
        <w:shd w:color="FFFFFF" w:fill="F79646" w:themeFill="accent6" w:val="clear"/>
      </w:tcPr>
    </w:tblStylePr>
    <w:tblStylePr w:type="lastCol">
      <w:pPr>
        <w:snapToGrid/>
      </w:pPr>
      <w:rPr>
        <w:rFonts w:ascii="Arial" w:hAnsi="Arial"/>
        <w:color w:val="F2F2F2"/>
        <w:sz w:val="22"/>
      </w:rPr>
      <w:tblPr/>
      <w:tcPr>
        <w:shd w:color="FFFFFF" w:fill="F79646" w:themeFill="accent6"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DE9D9" w:themeFill="accent6"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DE9D9" w:themeFill="accent6"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 w:type="table">
    <w:name w:val="Bordered &amp; Lined - Accent"/>
    <w:basedOn w:val="TableNormal"/>
    <w:uiPriority w:val="99"/>
    <w:qFormat/>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pPr>
        <w:snapToGrid/>
      </w:pPr>
      <w:rPr>
        <w:rFonts w:ascii="Arial" w:hAnsi="Arial"/>
        <w:color w:val="F2F2F2"/>
        <w:sz w:val="22"/>
      </w:rPr>
      <w:tblPr/>
      <w:tcPr>
        <w:shd w:color="FFFFFF" w:fill="7E7E7E" w:themeFill="text1" w:themeFillTint="80" w:val="clear"/>
      </w:tcPr>
    </w:tblStylePr>
    <w:tblStylePr w:type="lastRow">
      <w:pPr>
        <w:snapToGrid/>
      </w:pPr>
      <w:rPr>
        <w:rFonts w:ascii="Arial" w:hAnsi="Arial"/>
        <w:color w:val="F2F2F2"/>
        <w:sz w:val="22"/>
      </w:rPr>
      <w:tblPr/>
      <w:tcPr>
        <w:shd w:color="FFFFFF" w:fill="7E7E7E" w:themeFill="text1" w:themeFillTint="80" w:val="clear"/>
      </w:tcPr>
    </w:tblStylePr>
    <w:tblStylePr w:type="firstCol">
      <w:pPr>
        <w:snapToGrid/>
      </w:pPr>
      <w:rPr>
        <w:rFonts w:ascii="Arial" w:hAnsi="Arial"/>
        <w:color w:val="F2F2F2"/>
        <w:sz w:val="22"/>
      </w:rPr>
      <w:tblPr/>
      <w:tcPr>
        <w:shd w:color="FFFFFF" w:fill="7E7E7E" w:themeFill="text1" w:themeFillTint="80" w:val="clear"/>
      </w:tcPr>
    </w:tblStylePr>
    <w:tblStylePr w:type="lastCol">
      <w:pPr>
        <w:snapToGrid/>
      </w:pPr>
      <w:rPr>
        <w:rFonts w:ascii="Arial" w:hAnsi="Arial"/>
        <w:color w:val="F2F2F2"/>
        <w:sz w:val="22"/>
      </w:rPr>
      <w:tblPr/>
      <w:tcPr>
        <w:shd w:color="FFFFFF" w:fill="7E7E7E" w:themeFill="text1" w:themeFillTint="80"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1F1F1" w:themeFill="text1" w:themeFillTint="0D"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1F1F1" w:themeFill="text1" w:themeFillTint="0D"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1" w:type="table">
    <w:name w:val="Bordered &amp; Lined - Accent 1"/>
    <w:basedOn w:val="TableNormal"/>
    <w:uiPriority w:val="99"/>
    <w:qFormat/>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pPr>
        <w:snapToGrid/>
      </w:pPr>
      <w:rPr>
        <w:rFonts w:ascii="Arial" w:hAnsi="Arial"/>
        <w:color w:val="F2F2F2"/>
        <w:sz w:val="22"/>
      </w:rPr>
      <w:tblPr/>
      <w:tcPr>
        <w:shd w:color="FFFFFF" w:fill="5D8BC2" w:themeFill="accent1" w:themeFillTint="EA" w:val="clear"/>
      </w:tcPr>
    </w:tblStylePr>
    <w:tblStylePr w:type="lastRow">
      <w:pPr>
        <w:snapToGrid/>
      </w:pPr>
      <w:rPr>
        <w:rFonts w:ascii="Arial" w:hAnsi="Arial"/>
        <w:color w:val="F2F2F2"/>
        <w:sz w:val="22"/>
      </w:rPr>
      <w:tblPr/>
      <w:tcPr>
        <w:shd w:color="FFFFFF" w:fill="5D8BC2" w:themeFill="accent1" w:themeFillTint="EA" w:val="clear"/>
      </w:tcPr>
    </w:tblStylePr>
    <w:tblStylePr w:type="firstCol">
      <w:pPr>
        <w:snapToGrid/>
      </w:pPr>
      <w:rPr>
        <w:rFonts w:ascii="Arial" w:hAnsi="Arial"/>
        <w:color w:val="F2F2F2"/>
        <w:sz w:val="22"/>
      </w:rPr>
      <w:tblPr/>
      <w:tcPr>
        <w:shd w:color="FFFFFF" w:fill="5D8BC2" w:themeFill="accent1" w:themeFillTint="EA" w:val="clear"/>
      </w:tcPr>
    </w:tblStylePr>
    <w:tblStylePr w:type="lastCol">
      <w:pPr>
        <w:snapToGrid/>
      </w:pPr>
      <w:rPr>
        <w:rFonts w:ascii="Arial" w:hAnsi="Arial"/>
        <w:color w:val="F2F2F2"/>
        <w:sz w:val="22"/>
      </w:rPr>
      <w:tblPr/>
      <w:tcPr>
        <w:shd w:color="FFFFFF" w:fill="5D8BC2" w:themeFill="accent1" w:themeFillTint="EA"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C7D7EA" w:themeFill="accent1" w:themeFillTint="50"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C7D7EA" w:themeFill="accent1" w:themeFillTint="50"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2" w:type="table">
    <w:name w:val="Bordered &amp; Lined - Accent 2"/>
    <w:basedOn w:val="TableNormal"/>
    <w:uiPriority w:val="99"/>
    <w:qFormat/>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pPr>
        <w:snapToGrid/>
      </w:pPr>
      <w:rPr>
        <w:rFonts w:ascii="Arial" w:hAnsi="Arial"/>
        <w:color w:val="F2F2F2"/>
        <w:sz w:val="22"/>
      </w:rPr>
      <w:tblPr/>
      <w:tcPr>
        <w:shd w:color="FFFFFF" w:fill="D99795" w:themeFill="accent2" w:themeFillTint="97" w:val="clear"/>
      </w:tcPr>
    </w:tblStylePr>
    <w:tblStylePr w:type="lastRow">
      <w:pPr>
        <w:snapToGrid/>
      </w:pPr>
      <w:rPr>
        <w:rFonts w:ascii="Arial" w:hAnsi="Arial"/>
        <w:color w:val="F2F2F2"/>
        <w:sz w:val="22"/>
      </w:rPr>
      <w:tblPr/>
      <w:tcPr>
        <w:shd w:color="FFFFFF" w:fill="D99795" w:themeFill="accent2" w:themeFillTint="97" w:val="clear"/>
      </w:tcPr>
    </w:tblStylePr>
    <w:tblStylePr w:type="firstCol">
      <w:pPr>
        <w:snapToGrid/>
      </w:pPr>
      <w:rPr>
        <w:rFonts w:ascii="Arial" w:hAnsi="Arial"/>
        <w:color w:val="F2F2F2"/>
        <w:sz w:val="22"/>
      </w:rPr>
      <w:tblPr/>
      <w:tcPr>
        <w:shd w:color="FFFFFF" w:fill="D99795" w:themeFill="accent2" w:themeFillTint="97" w:val="clear"/>
      </w:tcPr>
    </w:tblStylePr>
    <w:tblStylePr w:type="lastCol">
      <w:pPr>
        <w:snapToGrid/>
      </w:pPr>
      <w:rPr>
        <w:rFonts w:ascii="Arial" w:hAnsi="Arial"/>
        <w:color w:val="F2F2F2"/>
        <w:sz w:val="22"/>
      </w:rPr>
      <w:tblPr/>
      <w:tcPr>
        <w:shd w:color="FFFFFF" w:fill="D99795" w:themeFill="accent2" w:themeFillTint="97"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2DCDC" w:themeFill="accent2" w:themeFillTint="32"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2DCDC" w:themeFill="accent2" w:themeFillTint="32"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3" w:type="table">
    <w:name w:val="Bordered &amp; Lined - Accent 3"/>
    <w:basedOn w:val="TableNormal"/>
    <w:uiPriority w:val="99"/>
    <w:qFormat/>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pPr>
        <w:snapToGrid/>
      </w:pPr>
      <w:rPr>
        <w:rFonts w:ascii="Arial" w:hAnsi="Arial"/>
        <w:color w:val="F2F2F2"/>
        <w:sz w:val="22"/>
      </w:rPr>
      <w:tblPr/>
      <w:tcPr>
        <w:shd w:color="FFFFFF" w:fill="9BBB59" w:themeFill="accent3" w:themeFillTint="FE" w:val="clear"/>
      </w:tcPr>
    </w:tblStylePr>
    <w:tblStylePr w:type="lastRow">
      <w:pPr>
        <w:snapToGrid/>
      </w:pPr>
      <w:rPr>
        <w:rFonts w:ascii="Arial" w:hAnsi="Arial"/>
        <w:color w:val="F2F2F2"/>
        <w:sz w:val="22"/>
      </w:rPr>
      <w:tblPr/>
      <w:tcPr>
        <w:shd w:color="FFFFFF" w:fill="9BBB59" w:themeFill="accent3" w:themeFillTint="FE" w:val="clear"/>
      </w:tcPr>
    </w:tblStylePr>
    <w:tblStylePr w:type="firstCol">
      <w:pPr>
        <w:snapToGrid/>
      </w:pPr>
      <w:rPr>
        <w:rFonts w:ascii="Arial" w:hAnsi="Arial"/>
        <w:color w:val="F2F2F2"/>
        <w:sz w:val="22"/>
      </w:rPr>
      <w:tblPr/>
      <w:tcPr>
        <w:shd w:color="FFFFFF" w:fill="9BBB59" w:themeFill="accent3" w:themeFillTint="FE" w:val="clear"/>
      </w:tcPr>
    </w:tblStylePr>
    <w:tblStylePr w:type="lastCol">
      <w:pPr>
        <w:snapToGrid/>
      </w:pPr>
      <w:rPr>
        <w:rFonts w:ascii="Arial" w:hAnsi="Arial"/>
        <w:color w:val="F2F2F2"/>
        <w:sz w:val="22"/>
      </w:rPr>
      <w:tblPr/>
      <w:tcPr>
        <w:shd w:color="FFFFFF" w:fill="9BBB59" w:themeFill="accent3" w:themeFillTint="FE"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EAF1DD" w:themeFill="accent3"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EAF1DD" w:themeFill="accent3"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4" w:type="table">
    <w:name w:val="Bordered &amp; Lined - Accent 4"/>
    <w:basedOn w:val="TableNormal"/>
    <w:uiPriority w:val="99"/>
    <w:qFormat/>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pPr>
        <w:snapToGrid/>
      </w:pPr>
      <w:rPr>
        <w:rFonts w:ascii="Arial" w:hAnsi="Arial"/>
        <w:color w:val="F2F2F2"/>
        <w:sz w:val="22"/>
      </w:rPr>
      <w:tblPr/>
      <w:tcPr>
        <w:shd w:color="FFFFFF" w:fill="B2A1C6" w:themeFill="accent4" w:themeFillTint="9A" w:val="clear"/>
      </w:tcPr>
    </w:tblStylePr>
    <w:tblStylePr w:type="lastRow">
      <w:pPr>
        <w:snapToGrid/>
      </w:pPr>
      <w:rPr>
        <w:rFonts w:ascii="Arial" w:hAnsi="Arial"/>
        <w:color w:val="F2F2F2"/>
        <w:sz w:val="22"/>
      </w:rPr>
      <w:tblPr/>
      <w:tcPr>
        <w:shd w:color="FFFFFF" w:fill="B2A1C6" w:themeFill="accent4" w:themeFillTint="9A" w:val="clear"/>
      </w:tcPr>
    </w:tblStylePr>
    <w:tblStylePr w:type="firstCol">
      <w:pPr>
        <w:snapToGrid/>
      </w:pPr>
      <w:rPr>
        <w:rFonts w:ascii="Arial" w:hAnsi="Arial"/>
        <w:color w:val="F2F2F2"/>
        <w:sz w:val="22"/>
      </w:rPr>
      <w:tblPr/>
      <w:tcPr>
        <w:shd w:color="FFFFFF" w:fill="B2A1C6" w:themeFill="accent4" w:themeFillTint="9A" w:val="clear"/>
      </w:tcPr>
    </w:tblStylePr>
    <w:tblStylePr w:type="lastCol">
      <w:pPr>
        <w:snapToGrid/>
      </w:pPr>
      <w:rPr>
        <w:rFonts w:ascii="Arial" w:hAnsi="Arial"/>
        <w:color w:val="F2F2F2"/>
        <w:sz w:val="22"/>
      </w:rPr>
      <w:tblPr/>
      <w:tcPr>
        <w:shd w:color="FFFFFF" w:fill="B2A1C6" w:themeFill="accent4" w:themeFillTint="9A"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E5DFEC" w:themeFill="accent4"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E5DFEC" w:themeFill="accent4"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5" w:type="table">
    <w:name w:val="Bordered &amp; Lined - Accent 5"/>
    <w:basedOn w:val="TableNormal"/>
    <w:uiPriority w:val="99"/>
    <w:qFormat/>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pPr>
        <w:snapToGrid/>
      </w:pPr>
      <w:rPr>
        <w:rFonts w:ascii="Arial" w:hAnsi="Arial"/>
        <w:color w:val="F2F2F2"/>
        <w:sz w:val="22"/>
      </w:rPr>
      <w:tblPr/>
      <w:tcPr>
        <w:shd w:color="FFFFFF" w:fill="4BACC6" w:themeFill="accent5" w:val="clear"/>
      </w:tcPr>
    </w:tblStylePr>
    <w:tblStylePr w:type="lastRow">
      <w:pPr>
        <w:snapToGrid/>
      </w:pPr>
      <w:rPr>
        <w:rFonts w:ascii="Arial" w:hAnsi="Arial"/>
        <w:color w:val="F2F2F2"/>
        <w:sz w:val="22"/>
      </w:rPr>
      <w:tblPr/>
      <w:tcPr>
        <w:shd w:color="FFFFFF" w:fill="4BACC6" w:themeFill="accent5" w:val="clear"/>
      </w:tcPr>
    </w:tblStylePr>
    <w:tblStylePr w:type="firstCol">
      <w:pPr>
        <w:snapToGrid/>
      </w:pPr>
      <w:rPr>
        <w:rFonts w:ascii="Arial" w:hAnsi="Arial"/>
        <w:color w:val="F2F2F2"/>
        <w:sz w:val="22"/>
      </w:rPr>
      <w:tblPr/>
      <w:tcPr>
        <w:shd w:color="FFFFFF" w:fill="4BACC6" w:themeFill="accent5" w:val="clear"/>
      </w:tcPr>
    </w:tblStylePr>
    <w:tblStylePr w:type="lastCol">
      <w:pPr>
        <w:snapToGrid/>
      </w:pPr>
      <w:rPr>
        <w:rFonts w:ascii="Arial" w:hAnsi="Arial"/>
        <w:color w:val="F2F2F2"/>
        <w:sz w:val="22"/>
      </w:rPr>
      <w:tblPr/>
      <w:tcPr>
        <w:shd w:color="FFFFFF" w:fill="4BACC6" w:themeFill="accent5"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DAEEF3" w:themeFill="accent5"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DAEEF3" w:themeFill="accent5"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Lined-Accent6" w:type="table">
    <w:name w:val="Bordered &amp; Lined - Accent 6"/>
    <w:basedOn w:val="TableNormal"/>
    <w:uiPriority w:val="99"/>
    <w:qFormat/>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pPr>
        <w:snapToGrid/>
      </w:pPr>
      <w:rPr>
        <w:rFonts w:ascii="Arial" w:hAnsi="Arial"/>
        <w:color w:val="F2F2F2"/>
        <w:sz w:val="22"/>
      </w:rPr>
      <w:tblPr/>
      <w:tcPr>
        <w:shd w:color="FFFFFF" w:fill="F79646" w:themeFill="accent6" w:val="clear"/>
      </w:tcPr>
    </w:tblStylePr>
    <w:tblStylePr w:type="lastRow">
      <w:pPr>
        <w:snapToGrid/>
      </w:pPr>
      <w:rPr>
        <w:rFonts w:ascii="Arial" w:hAnsi="Arial"/>
        <w:color w:val="F2F2F2"/>
        <w:sz w:val="22"/>
      </w:rPr>
      <w:tblPr/>
      <w:tcPr>
        <w:shd w:color="FFFFFF" w:fill="F79646" w:themeFill="accent6" w:val="clear"/>
      </w:tcPr>
    </w:tblStylePr>
    <w:tblStylePr w:type="firstCol">
      <w:pPr>
        <w:snapToGrid/>
      </w:pPr>
      <w:rPr>
        <w:rFonts w:ascii="Arial" w:hAnsi="Arial"/>
        <w:color w:val="F2F2F2"/>
        <w:sz w:val="22"/>
      </w:rPr>
      <w:tblPr/>
      <w:tcPr>
        <w:shd w:color="FFFFFF" w:fill="F79646" w:themeFill="accent6" w:val="clear"/>
      </w:tcPr>
    </w:tblStylePr>
    <w:tblStylePr w:type="lastCol">
      <w:pPr>
        <w:snapToGrid/>
      </w:pPr>
      <w:rPr>
        <w:rFonts w:ascii="Arial" w:hAnsi="Arial"/>
        <w:color w:val="F2F2F2"/>
        <w:sz w:val="22"/>
      </w:rPr>
      <w:tblPr/>
      <w:tcPr>
        <w:shd w:color="FFFFFF" w:fill="F79646" w:themeFill="accent6" w:val="clear"/>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color="FFFFFF" w:fill="FDE9D9" w:themeFill="accent6" w:themeFillTint="34" w:val="clear"/>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color="FFFFFF" w:fill="FDE9D9" w:themeFill="accent6" w:themeFillTint="34" w:val="clear"/>
      </w:tc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 w:type="table">
    <w:name w:val="Bordered"/>
    <w:basedOn w:val="TableNormal"/>
    <w:uiPriority w:val="99"/>
    <w:qFormat/>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pPr>
        <w:snapToGrid/>
      </w:pPr>
      <w:rPr>
        <w:rFonts w:ascii="Arial" w:hAnsi="Arial"/>
        <w:color w:val="404040"/>
        <w:sz w:val="22"/>
      </w:rPr>
      <w:tblPr/>
      <w:tcPr>
        <w:tcBorders>
          <w:bottom w:color="7E7E7E" w:space="0" w:sz="12" w:themeColor="text1" w:themeTint="80" w:val="single"/>
        </w:tcBorders>
      </w:tcPr>
    </w:tblStylePr>
    <w:tblStylePr w:type="lastRow">
      <w:pPr>
        <w:snapToGrid/>
      </w:pPr>
      <w:rPr>
        <w:rFonts w:ascii="Arial" w:hAnsi="Arial"/>
        <w:color w:val="404040"/>
        <w:sz w:val="22"/>
      </w:rPr>
      <w:tblPr/>
      <w:tcPr>
        <w:tcBorders>
          <w:top w:color="7E7E7E" w:space="0" w:sz="12" w:themeColor="text1" w:themeTint="80"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7E7E7E" w:space="0" w:sz="12" w:themeColor="text1" w:themeTint="80"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1" w:type="table">
    <w:name w:val="Bordered - Accent 1"/>
    <w:basedOn w:val="TableNormal"/>
    <w:uiPriority w:val="99"/>
    <w:qFormat/>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pPr>
        <w:snapToGrid/>
      </w:pPr>
      <w:rPr>
        <w:rFonts w:ascii="Arial" w:hAnsi="Arial"/>
        <w:color w:val="404040"/>
        <w:sz w:val="22"/>
      </w:rPr>
      <w:tblPr/>
      <w:tcPr>
        <w:tcBorders>
          <w:bottom w:color="4F81BD" w:space="0" w:sz="12" w:themeColor="accent1" w:val="single"/>
        </w:tcBorders>
      </w:tcPr>
    </w:tblStylePr>
    <w:tblStylePr w:type="lastRow">
      <w:pPr>
        <w:snapToGrid/>
      </w:pPr>
      <w:rPr>
        <w:rFonts w:ascii="Arial" w:hAnsi="Arial"/>
        <w:color w:val="404040"/>
        <w:sz w:val="22"/>
      </w:rPr>
      <w:tblPr/>
      <w:tcPr>
        <w:tcBorders>
          <w:top w:color="4F81BD" w:space="0" w:sz="12" w:themeColor="accent1"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4F81BD" w:space="0" w:sz="12" w:themeColor="accent1"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2" w:type="table">
    <w:name w:val="Bordered - Accent 2"/>
    <w:basedOn w:val="TableNormal"/>
    <w:uiPriority w:val="99"/>
    <w:qFormat/>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pPr>
        <w:snapToGrid/>
      </w:pPr>
      <w:rPr>
        <w:rFonts w:ascii="Arial" w:hAnsi="Arial"/>
        <w:color w:val="404040"/>
        <w:sz w:val="22"/>
      </w:rPr>
      <w:tblPr/>
      <w:tcPr>
        <w:tcBorders>
          <w:bottom w:color="D99795" w:space="0" w:sz="12" w:themeColor="accent2" w:themeTint="97" w:val="single"/>
        </w:tcBorders>
      </w:tcPr>
    </w:tblStylePr>
    <w:tblStylePr w:type="lastRow">
      <w:pPr>
        <w:snapToGrid/>
      </w:pPr>
      <w:rPr>
        <w:rFonts w:ascii="Arial" w:hAnsi="Arial"/>
        <w:color w:val="404040"/>
        <w:sz w:val="22"/>
      </w:rPr>
      <w:tblPr/>
      <w:tcPr>
        <w:tcBorders>
          <w:top w:color="D99795" w:space="0" w:sz="12" w:themeColor="accent2" w:themeTint="97"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D99795" w:space="0" w:sz="12" w:themeColor="accent2" w:themeTint="97"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3" w:type="table">
    <w:name w:val="Bordered - Accent 3"/>
    <w:basedOn w:val="TableNormal"/>
    <w:uiPriority w:val="99"/>
    <w:qFormat/>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pPr>
        <w:snapToGrid/>
      </w:pPr>
      <w:rPr>
        <w:rFonts w:ascii="Arial" w:hAnsi="Arial"/>
        <w:color w:val="404040"/>
        <w:sz w:val="22"/>
      </w:rPr>
      <w:tblPr/>
      <w:tcPr>
        <w:tcBorders>
          <w:bottom w:color="C3D69C" w:space="0" w:sz="12" w:themeColor="accent3" w:themeTint="98" w:val="single"/>
        </w:tcBorders>
      </w:tcPr>
    </w:tblStylePr>
    <w:tblStylePr w:type="lastRow">
      <w:pPr>
        <w:snapToGrid/>
      </w:pPr>
      <w:rPr>
        <w:rFonts w:ascii="Arial" w:hAnsi="Arial"/>
        <w:color w:val="404040"/>
        <w:sz w:val="22"/>
      </w:rPr>
      <w:tblPr/>
      <w:tcPr>
        <w:tcBorders>
          <w:top w:color="C3D69C" w:space="0" w:sz="12" w:themeColor="accent3" w:themeTint="98"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C3D69C" w:space="0" w:sz="12" w:themeColor="accent3" w:themeTint="98"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4" w:type="table">
    <w:name w:val="Bordered - Accent 4"/>
    <w:basedOn w:val="TableNormal"/>
    <w:uiPriority w:val="99"/>
    <w:qFormat/>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pPr>
        <w:snapToGrid/>
      </w:pPr>
      <w:rPr>
        <w:rFonts w:ascii="Arial" w:hAnsi="Arial"/>
        <w:color w:val="404040"/>
        <w:sz w:val="22"/>
      </w:rPr>
      <w:tblPr/>
      <w:tcPr>
        <w:tcBorders>
          <w:bottom w:color="B2A1C6" w:space="0" w:sz="12" w:themeColor="accent4" w:themeTint="9A" w:val="single"/>
        </w:tcBorders>
      </w:tcPr>
    </w:tblStylePr>
    <w:tblStylePr w:type="lastRow">
      <w:pPr>
        <w:snapToGrid/>
      </w:pPr>
      <w:rPr>
        <w:rFonts w:ascii="Arial" w:hAnsi="Arial"/>
        <w:color w:val="404040"/>
        <w:sz w:val="22"/>
      </w:rPr>
      <w:tblPr/>
      <w:tcPr>
        <w:tcBorders>
          <w:top w:color="B2A1C6" w:space="0" w:sz="12" w:themeColor="accent4" w:themeTint="9A"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B2A1C6" w:space="0" w:sz="12" w:themeColor="accent4" w:themeTint="9A"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5" w:type="table">
    <w:name w:val="Bordered - Accent 5"/>
    <w:basedOn w:val="TableNormal"/>
    <w:uiPriority w:val="99"/>
    <w:qFormat/>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pPr>
        <w:snapToGrid/>
      </w:pPr>
      <w:rPr>
        <w:rFonts w:ascii="Arial" w:hAnsi="Arial"/>
        <w:color w:val="404040"/>
        <w:sz w:val="22"/>
      </w:rPr>
      <w:tblPr/>
      <w:tcPr>
        <w:tcBorders>
          <w:bottom w:color="92CCDC" w:space="0" w:sz="12" w:themeColor="accent5" w:themeTint="9A" w:val="single"/>
        </w:tcBorders>
      </w:tcPr>
    </w:tblStylePr>
    <w:tblStylePr w:type="lastRow">
      <w:pPr>
        <w:snapToGrid/>
      </w:pPr>
      <w:rPr>
        <w:rFonts w:ascii="Arial" w:hAnsi="Arial"/>
        <w:color w:val="404040"/>
        <w:sz w:val="22"/>
      </w:rPr>
      <w:tblPr/>
      <w:tcPr>
        <w:tcBorders>
          <w:top w:color="92CCDC" w:space="0" w:sz="12" w:themeColor="accent5" w:themeTint="9A"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92CCDC" w:space="0" w:sz="12" w:themeColor="accent5" w:themeTint="9A"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Bordered-Accent6" w:type="table">
    <w:name w:val="Bordered - Accent 6"/>
    <w:basedOn w:val="TableNormal"/>
    <w:uiPriority w:val="99"/>
    <w:qFormat/>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pPr>
        <w:snapToGrid/>
      </w:pPr>
      <w:rPr>
        <w:rFonts w:ascii="Arial" w:hAnsi="Arial"/>
        <w:color w:val="404040"/>
        <w:sz w:val="22"/>
      </w:rPr>
      <w:tblPr/>
      <w:tcPr>
        <w:tcBorders>
          <w:bottom w:color="FAC090" w:space="0" w:sz="12" w:themeColor="accent6" w:themeTint="98" w:val="single"/>
        </w:tcBorders>
      </w:tcPr>
    </w:tblStylePr>
    <w:tblStylePr w:type="lastRow">
      <w:pPr>
        <w:snapToGrid/>
      </w:pPr>
      <w:rPr>
        <w:rFonts w:ascii="Arial" w:hAnsi="Arial"/>
        <w:color w:val="404040"/>
        <w:sz w:val="22"/>
      </w:rPr>
      <w:tblPr/>
      <w:tcPr>
        <w:tcBorders>
          <w:top w:color="FAC090" w:space="0" w:sz="12" w:themeColor="accent6" w:themeTint="98" w:val="single"/>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color="FAC090" w:space="0" w:sz="12" w:themeColor="accent6" w:themeTint="98" w:val="single"/>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customStyle="1" w:styleId="FootnoteTextChar" w:type="character">
    <w:name w:val="Footnote Text Char"/>
    <w:uiPriority w:val="99"/>
    <w:qFormat/>
    <w:rPr>
      <w:sz w:val="18"/>
    </w:rPr>
  </w:style>
  <w:style w:customStyle="1" w:styleId="a2" w:type="character">
    <w:name w:val="尾注文本 字符"/>
    <w:link w:val="EndnoteText"/>
    <w:uiPriority w:val="99"/>
    <w:qFormat/>
    <w:rPr>
      <w:sz w:val="20"/>
    </w:rPr>
  </w:style>
  <w:style w:customStyle="1" w:styleId="TOC10" w:type="paragraph">
    <w:name w:val="TOC 标题1"/>
    <w:uiPriority w:val="39"/>
    <w:unhideWhenUsed/>
    <w:qFormat/>
    <w:pPr>
      <w:spacing w:after="200" w:line="276" w:lineRule="auto"/>
    </w:pPr>
    <w:rPr>
      <w:rFonts w:ascii="Calibri" w:cs="Calibri" w:eastAsia="宋体" w:hAnsi="Cambria"/>
      <w:sz w:val="22"/>
      <w:szCs w:val="22"/>
      <w:lang w:bidi="ar-SA" w:eastAsia="en-US" w:val="en-US"/>
    </w:rPr>
  </w:style>
  <w:style w:customStyle="1" w:styleId="a3" w:type="character">
    <w:name w:val="正文文本 字符"/>
    <w:link w:val="BodyText"/>
    <w:qFormat/>
    <w:rPr>
      <w:rFonts w:ascii="宋体"/>
    </w:rPr>
  </w:style>
  <w:style w:customStyle="1" w:styleId="read" w:type="character">
    <w:name w:val="read"/>
    <w:basedOn w:val="DefaultParagraphFont"/>
    <w:qFormat/>
  </w:style>
  <w:style w:customStyle="1" w:styleId="unnamed11" w:type="character">
    <w:name w:val="unnamed11"/>
    <w:basedOn w:val="DefaultParagraphFont"/>
    <w:qFormat/>
    <w:rPr>
      <w:rFonts w:ascii="宋体" w:eastAsia="宋体" w:hAnsi="宋体" w:hint="eastAsia"/>
      <w:sz w:val="18"/>
    </w:rPr>
  </w:style>
  <w:style w:customStyle="1" w:styleId="a4" w:type="character">
    <w:name w:val="标题 字符"/>
    <w:basedOn w:val="DefaultParagraphFont"/>
    <w:link w:val="Title"/>
    <w:qFormat/>
    <w:rPr>
      <w:rFonts w:ascii="Cambria" w:hAnsi="Cambria"/>
      <w:b/>
      <w:sz w:val="32"/>
    </w:rPr>
  </w:style>
  <w:style w:customStyle="1" w:styleId="a5" w:type="character">
    <w:name w:val="页眉 字符"/>
    <w:basedOn w:val="DefaultParagraphFont"/>
    <w:link w:val="Header"/>
    <w:qFormat/>
    <w:rPr>
      <w:rFonts w:eastAsia="宋体"/>
      <w:sz w:val="18"/>
      <w:lang w:eastAsia="zh-CN" w:val="en-US"/>
    </w:rPr>
  </w:style>
  <w:style w:customStyle="1" w:styleId="unnamed1" w:type="paragraph">
    <w:name w:val="unnamed1"/>
    <w:basedOn w:val="Normal"/>
    <w:qFormat/>
    <w:pPr>
      <w:spacing w:after="60" w:before="60"/>
      <w:ind w:left="15" w:right="15"/>
    </w:pPr>
    <w:rPr>
      <w:rFonts w:ascii="宋体" w:hAnsi="宋体" w:hint="eastAsia"/>
      <w:color w:val="000000"/>
      <w:sz w:val="18"/>
      <w:szCs w:val="18"/>
    </w:rPr>
  </w:style>
  <w:style w:customStyle="1" w:styleId="Char" w:type="paragraph">
    <w:name w:val="Char"/>
    <w:basedOn w:val="Normal"/>
    <w:qFormat/>
  </w:style>
  <w:style w:customStyle="1" w:styleId="msonormal1" w:type="paragraph">
    <w:name w:val="msonormal1"/>
    <w:qFormat/>
    <w:pPr>
      <w:widowControl w:val="0"/>
      <w:spacing w:after="200" w:line="276" w:lineRule="auto"/>
      <w:jc w:val="both"/>
    </w:pPr>
    <w:rPr>
      <w:rFonts w:ascii="Calibri" w:cs="Calibri" w:eastAsia="宋体" w:hAnsi="Cambria"/>
      <w:sz w:val="21"/>
      <w:szCs w:val="22"/>
      <w:lang w:bidi="ar-SA" w:eastAsia="en-US" w:val="en-US"/>
    </w:rPr>
  </w:style>
  <w:style w:customStyle="1" w:styleId="CharChar1" w:type="paragraph">
    <w:name w:val="Char Char1"/>
    <w:basedOn w:val="Normal"/>
    <w:qFormat/>
  </w:style>
  <w:style w:customStyle="1" w:styleId="Char1" w:type="paragraph">
    <w:name w:val="Char1"/>
    <w:basedOn w:val="Normal"/>
    <w:qFormat/>
  </w:style>
  <w:style w:customStyle="1" w:styleId="InfoBlue" w:type="paragraph">
    <w:name w:val="InfoBlue"/>
    <w:basedOn w:val="Normal"/>
    <w:next w:val="BodyText"/>
    <w:qFormat/>
    <w:pPr>
      <w:tabs>
        <w:tab w:pos="420" w:val="left"/>
      </w:tabs>
      <w:spacing w:after="120" w:line="240" w:lineRule="atLeast"/>
      <w:ind w:hanging="420" w:left="420"/>
      <w:jc w:val="left"/>
    </w:pPr>
    <w:rPr>
      <w:rFonts w:ascii="宋体" w:hAnsi="宋体"/>
    </w:rPr>
  </w:style>
  <w:style w:customStyle="1" w:styleId="Default" w:type="paragraph">
    <w:name w:val="Default"/>
    <w:qFormat/>
    <w:pPr>
      <w:widowControl w:val="0"/>
      <w:spacing w:after="200" w:line="276" w:lineRule="auto"/>
    </w:pPr>
    <w:rPr>
      <w:rFonts w:ascii="宋体" w:cs="Calibri" w:eastAsia="宋体" w:hAnsi="Cambria"/>
      <w:color w:val="000000"/>
      <w:sz w:val="24"/>
      <w:szCs w:val="22"/>
      <w:lang w:bidi="ar-SA" w:eastAsia="en-US" w:val="en-US"/>
    </w:rPr>
  </w:style>
  <w:style w:customStyle="1" w:styleId="a6" w:type="paragraph">
    <w:name w:val="正文正文"/>
    <w:basedOn w:val="Normal"/>
    <w:qFormat/>
    <w:pPr>
      <w:spacing w:afterLines="25" w:line="360" w:lineRule="auto"/>
      <w:ind w:firstLine="200"/>
    </w:pPr>
    <w:rPr>
      <w:sz w:val="24"/>
    </w:rPr>
  </w:style>
  <w:style w:customStyle="1" w:styleId="Listbullet" w:type="paragraph">
    <w:name w:val="List_bullet"/>
    <w:basedOn w:val="Normal"/>
    <w:qFormat/>
    <w:pPr>
      <w:widowControl/>
      <w:numPr>
        <w:ilvl w:val="0"/>
        <w:numId w:val="1"/>
      </w:numPr>
      <w:jc w:val="left"/>
    </w:pPr>
    <w:rPr>
      <w:sz w:val="24"/>
    </w:rPr>
  </w:style>
  <w:style w:customStyle="1" w:styleId="CharCharChar" w:type="paragraph">
    <w:name w:val="Char Char Char"/>
    <w:basedOn w:val="Normal"/>
    <w:qFormat/>
  </w:style>
  <w:style w:customStyle="1" w:styleId="a7" w:type="paragraph">
    <w:name w:val="正文所"/>
    <w:basedOn w:val="Normal"/>
    <w:qFormat/>
    <w:pPr>
      <w:spacing w:line="360" w:lineRule="auto"/>
      <w:ind w:firstLine="420"/>
    </w:pPr>
    <w:rPr>
      <w:rFonts w:ascii="宋体"/>
    </w:rPr>
  </w:style>
  <w:style w:customStyle="1" w:styleId="CharChar" w:type="paragraph">
    <w:name w:val="Char Char"/>
    <w:basedOn w:val="Normal"/>
    <w:qFormat/>
  </w:style>
  <w:style w:customStyle="1" w:styleId="1" w:type="character">
    <w:name w:val="批注文字 字符1"/>
    <w:link w:val="CommentText"/>
    <w:qFormat/>
    <w:rPr>
      <w:sz w:val="21"/>
    </w:rPr>
  </w:style>
  <w:style w:customStyle="1" w:styleId="10" w:type="paragraph">
    <w:name w:val="列表段落1"/>
    <w:basedOn w:val="Normal"/>
    <w:uiPriority w:val="34"/>
    <w:qFormat/>
    <w:pPr>
      <w:ind w:firstLine="420"/>
    </w:pPr>
  </w:style>
  <w:style w:customStyle="1" w:styleId="a8" w:type="character">
    <w:name w:val="页脚 字符"/>
    <w:basedOn w:val="DefaultParagraphFont"/>
    <w:link w:val="Footer"/>
    <w:uiPriority w:val="99"/>
    <w:qFormat/>
    <w:rPr>
      <w:sz w:val="18"/>
    </w:rPr>
  </w:style>
  <w:style w:customStyle="1" w:styleId="12" w:type="paragraph">
    <w:name w:val="修订1"/>
    <w:hidden/>
    <w:uiPriority w:val="99"/>
    <w:semiHidden/>
    <w:qFormat/>
    <w:pPr>
      <w:spacing w:after="200" w:line="276" w:lineRule="auto"/>
    </w:pPr>
    <w:rPr>
      <w:rFonts w:ascii="Calibri" w:cs="Calibri" w:eastAsia="宋体" w:hAnsi="Cambria"/>
      <w:sz w:val="21"/>
      <w:szCs w:val="22"/>
      <w:lang w:bidi="ar-SA" w:eastAsia="en-US" w:val="en-US"/>
    </w:rPr>
  </w:style>
  <w:style w:customStyle="1" w:styleId="2" w:type="paragraph">
    <w:name w:val="修订2"/>
    <w:hidden/>
    <w:uiPriority w:val="99"/>
    <w:semiHidden/>
    <w:qFormat/>
    <w:pPr>
      <w:spacing w:after="200" w:line="276" w:lineRule="auto"/>
    </w:pPr>
    <w:rPr>
      <w:rFonts w:ascii="Calibri" w:cs="Calibri" w:eastAsia="宋体" w:hAnsi="Cambria"/>
      <w:sz w:val="21"/>
      <w:szCs w:val="22"/>
      <w:lang w:bidi="ar-SA" w:eastAsia="en-US" w:val="en-US"/>
    </w:rPr>
  </w:style>
  <w:style w:customStyle="1" w:styleId="3" w:type="paragraph">
    <w:name w:val="修订3"/>
    <w:hidden/>
    <w:uiPriority w:val="99"/>
    <w:semiHidden/>
    <w:qFormat/>
    <w:pPr>
      <w:spacing w:after="200" w:line="276" w:lineRule="auto"/>
    </w:pPr>
    <w:rPr>
      <w:rFonts w:ascii="Calibri" w:cs="Calibri" w:eastAsia="宋体" w:hAnsi="Cambria"/>
      <w:sz w:val="21"/>
      <w:szCs w:val="22"/>
      <w:lang w:bidi="ar-SA" w:eastAsia="en-US" w:val="en-US"/>
    </w:rPr>
  </w:style>
  <w:style w:customStyle="1" w:styleId="a9" w:type="character">
    <w:name w:val="批注文字 字符"/>
    <w:semiHidden/>
    <w:qFormat/>
    <w:rPr>
      <w:sz w:val="21"/>
      <w:szCs w:val="22"/>
    </w:rPr>
  </w:style>
  <w:style w:customStyle="1" w:styleId="13" w:type="character">
    <w:name w:val="标题 1 字符"/>
    <w:basedOn w:val="DefaultParagraphFont"/>
    <w:link w:val="Heading1"/>
    <w:qFormat/>
    <w:rPr>
      <w:rFonts w:ascii="宋体"/>
      <w:b/>
      <w:color w:val="000000"/>
      <w:sz w:val="24"/>
    </w:rPr>
  </w:style>
  <w:style w:customStyle="1" w:styleId="40" w:type="paragraph">
    <w:name w:val="修订4"/>
    <w:hidden/>
    <w:uiPriority w:val="99"/>
    <w:semiHidden/>
    <w:qFormat/>
    <w:pPr>
      <w:spacing w:after="200" w:line="276" w:lineRule="auto"/>
    </w:pPr>
    <w:rPr>
      <w:rFonts w:ascii="Calibri" w:cs="Calibri" w:eastAsia="宋体" w:hAnsi="Cambria"/>
      <w:sz w:val="21"/>
      <w:szCs w:val="22"/>
      <w:lang w:bidi="ar-SA" w:eastAsia="en-US" w:val="en-US"/>
    </w:rPr>
  </w:style>
  <w:style w:customStyle="1" w:styleId="50" w:type="paragraph">
    <w:name w:val="修订5"/>
    <w:hidden/>
    <w:uiPriority w:val="99"/>
    <w:unhideWhenUsed/>
    <w:qFormat/>
    <w:rPr>
      <w:rFonts w:ascii="Calibri" w:cs="Calibri" w:eastAsia="宋体" w:hAnsi="Cambria"/>
      <w:sz w:val="21"/>
      <w:szCs w:val="22"/>
      <w:lang w:bidi="ar-SA" w:eastAsia="en-US" w:val="en-US"/>
    </w:rPr>
  </w:style>
  <w:style w:customStyle="1" w:styleId="Char10" w:type="character">
    <w:name w:val="批注文字 Char1"/>
    <w:qFormat/>
    <w:rPr>
      <w:rFonts w:ascii="Times New Roman" w:cs="Times New Roman" w:eastAsia="宋体" w:hAnsi="Times New Roman"/>
      <w:szCs w:val="24"/>
    </w:rPr>
  </w:style>
  <w:style w:customStyle="1" w:styleId="60" w:type="paragraph">
    <w:name w:val="修订6"/>
    <w:hidden/>
    <w:uiPriority w:val="99"/>
    <w:semiHidden/>
    <w:qFormat/>
    <w:rPr>
      <w:rFonts w:ascii="Calibri" w:cs="Calibri" w:eastAsia="宋体" w:hAnsi="Cambria"/>
      <w:sz w:val="21"/>
      <w:szCs w:val="22"/>
      <w:lang w:bidi="ar-SA" w:eastAsia="en-US" w:val="en-US"/>
    </w:rPr>
  </w:style>
  <w:style w:customStyle="1" w:styleId="70" w:type="paragraph">
    <w:name w:val="修订7"/>
    <w:hidden/>
    <w:uiPriority w:val="99"/>
    <w:semiHidden/>
    <w:rPr>
      <w:rFonts w:ascii="Calibri" w:cs="Calibri" w:eastAsia="宋体" w:hAnsi="Cambria"/>
      <w:sz w:val="21"/>
      <w:szCs w:val="22"/>
      <w:lang w:bidi="ar-SA" w:eastAsia="en-US" w:val="en-US"/>
    </w:rPr>
  </w:style>
  <w:style w:customStyle="1" w:styleId="Revision" w:type="paragraph">
    <w:name w:val="Revision"/>
    <w:hidden/>
    <w:uiPriority w:val="99"/>
    <w:unhideWhenUsed/>
    <w:rPr>
      <w:rFonts w:ascii="Calibri" w:cs="Calibri" w:eastAsia="宋体" w:hAnsi="Cambria"/>
      <w:sz w:val="21"/>
      <w:szCs w:val="22"/>
      <w:lang w:bidi="ar-SA" w:eastAsia="en-US"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no"?>
<Relationships xmlns="http://schemas.openxmlformats.org/package/2006/relationships">
<Relationship Id="rId1" Target="settings.xml" Type="http://schemas.openxmlformats.org/officeDocument/2006/relationships/settings"/>
<Relationship Id="rId10" Target="header3.xml" Type="http://schemas.openxmlformats.org/officeDocument/2006/relationships/header"/>
<Relationship Id="rId11" Target="theme/theme1.xml" Type="http://schemas.openxmlformats.org/officeDocument/2006/relationships/theme"/>
<Relationship Id="rId12" Target="numbering.xml" Type="http://schemas.openxmlformats.org/officeDocument/2006/relationships/numbering"/>
<Relationship Id="rId13" Target="styles.xml" Type="http://schemas.openxmlformats.org/officeDocument/2006/relationships/styles"/>
<Relationship Id="rId14" Target="people.xml" Type="http://schemas.microsoft.com/office/2011/relationships/people"/>
<Relationship Id="rId2" Target="webSettings.xml" Type="http://schemas.openxmlformats.org/officeDocument/2006/relationships/webSettings"/>
<Relationship Id="rId3" Target="fontTable.xml" Type="http://schemas.openxmlformats.org/officeDocument/2006/relationships/fontTable"/>
<Relationship Id="rId4" Target="../customXml/item1.xml" Type="http://schemas.openxmlformats.org/officeDocument/2006/relationships/customXml"/>
<Relationship Id="rId5" Target="../customXml/item2.xml" Type="http://schemas.openxmlformats.org/officeDocument/2006/relationships/customXml"/>
<Relationship Id="rId6" Target="footer1.xml" Type="http://schemas.openxmlformats.org/officeDocument/2006/relationships/footer"/>
<Relationship Id="rId7" Target="header1.xml" Type="http://schemas.openxmlformats.org/officeDocument/2006/relationships/header"/>
<Relationship Id="rId8" Target="footer2.xml" Type="http://schemas.openxmlformats.org/officeDocument/2006/relationships/footer"/>
<Relationship Id="rId9" Target="header2.xml" Type="http://schemas.openxmlformats.org/officeDocument/2006/relationships/header"/>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no"?>
<Relationships xmlns="http://schemas.openxmlformats.org/package/2006/relationships">
<Relationship Id="rId1" Target="itemProps2.xml" Type="http://schemas.openxmlformats.org/officeDocument/2006/relationships/customXmlProps"/>
</Relationships>

</file>

<file path=customXml/item1.xml><?xml version="1.0" encoding="utf-8"?>
<b:Sources xmlns:b="http://schemas.openxmlformats.org/officeDocument/2006/bibliography" Version="6" StyleName="APA" SelectedStyle="\APASixthEditionOfficeOnline.xsl"/>
</file>

<file path=customXml/item2.xml><?xml version="1.0" encoding="utf-8"?>
<w:settings xmlns:w="http://schemas.openxmlformats.org/wordprocessingml/2006/main">
  <w:SpecialFormsHighlight xmlns:w="http://schemas.openxmlformats.org/wordprocessingml/2006/main" w:val="c9c8ff"/>
</w:settings>
</file>

<file path=customXml/itemProps1.xml><?xml version="1.0" encoding="utf-8"?>
<ds:datastoreItem xmlns:ds="http://schemas.openxmlformats.org/officeDocument/2006/customXml" ds:itemID="{CAA6B54D-4999-4819-A544-021DB23FD51F}">
  <ds:schemaRefs/>
</ds:datastoreItem>
</file>

<file path=customXml/itemProps2.xml><?xml version="1.0" encoding="utf-8"?>
<ds:datastoreItem xmlns:ds="http://schemas.openxmlformats.org/officeDocument/2006/customXml" ds:itemID="{5D0AEA6B-E499-4EEF-98A3-AFBB261C493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73</Pages>
  <Words>7766</Words>
  <Characters>44269</Characters>
  <Application>Microsoft Office Word</Application>
  <DocSecurity>0</DocSecurity>
  <Lines>368</Lines>
  <Paragraphs>103</Paragraphs>
  <ScaleCrop>false</ScaleCrop>
  <Company>Microsoft</Company>
  <LinksUpToDate>false</LinksUpToDate>
  <CharactersWithSpaces>51932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2025-10-22T16:38:00Z</dcterms:created>
  <cp:lastPrinted>2025-02-28T14:46:00Z</cp:lastPrinted>
  <dcterms:modified xsi:type="dcterms:W3CDTF">2026-09-10T12:07:49Z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ICV" pid="2">
    <vt:lpwstr>AC736751F2B542AAA1A4C640C434B6D8_13</vt:lpwstr>
  </property>
  <property fmtid="{D5CDD505-2E9C-101B-9397-08002B2CF9AE}" name="KSOProductBuildVer" pid="3">
    <vt:lpwstr>2052-12.1.0.24657</vt:lpwstr>
  </property>
</Properties>
</file>